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CCP.1996.6297 vom 31. März 1997</w:t>
      </w:r>
    </w:p>
    <w:p>
      <w:r>
        <w:t>NE Tribunal cantonal, 1997-03-31, FR</w:t>
      </w:r>
    </w:p>
    <w:p>
      <w:r>
        <w:rPr>
          <w:b/>
        </w:rPr>
        <w:t xml:space="preserve">Quelle: </w:t>
      </w:r>
      <w:r>
        <w:t>https://mcp.opencaselaw.ch/entscheid/ne_gerichte_CCP.1996.6297</w:t>
      </w:r>
    </w:p>
    <w:p>
      <w:r>
        <w:t>FR: NE_GERICHTE CCP.1996.6297 du 31 mars 1997</w:t>
      </w:r>
    </w:p>
    <w:p>
      <w:r>
        <w:t>IT: NE_GERICHTE CCP.1996.6297 del 31 marzo 1997</w:t>
      </w:r>
    </w:p>
    <w:p>
      <w:pPr>
        <w:pStyle w:val="Heading2"/>
      </w:pPr>
      <w:r>
        <w:t>Volltext</w:t>
      </w:r>
    </w:p>
    <w:p>
      <w:r>
        <w:t>A.      Prévenu d'infractions graves à loi fédérale sur les stupéfiants</w:t>
      </w:r>
    </w:p>
    <w:p>
      <w:r>
        <w:t>pour avoir principalement acquis et vendu 220 gr. de cocaïne entre fin</w:t>
      </w:r>
    </w:p>
    <w:p>
      <w:r>
        <w:t>1990 et début 1991 et subsidiairement pour avoir servi d'intermédiaire</w:t>
      </w:r>
    </w:p>
    <w:p>
      <w:r>
        <w:t>pour la vente de 220 gr. de cocaïne entre deux autres trafiquants,</w:t>
      </w:r>
    </w:p>
    <w:p>
      <w:r>
        <w:t>G. a été renvoyé le 8 février 1996 devant le</w:t>
      </w:r>
    </w:p>
    <w:p>
      <w:r>
        <w:t>Tribunal correctionnel du district de La Chaux-de-Fonds.</w:t>
      </w:r>
    </w:p>
    <w:p>
      <w:r>
        <w:t>Par le jugement attaqué, G.  a été con-</w:t>
      </w:r>
    </w:p>
    <w:p>
      <w:r>
        <w:t>damné à 18 mois d'emprisonnement, dont à déduire 80 jours de détention</w:t>
      </w:r>
    </w:p>
    <w:p>
      <w:r>
        <w:t>préventive subie, avec sursis pendant cinq ans et à 2'000 francs de frais</w:t>
      </w:r>
    </w:p>
    <w:p>
      <w:r>
        <w:t>de justice. Le Tribunal correctionnel a retenu à sa charge la prévention</w:t>
      </w:r>
    </w:p>
    <w:p>
      <w:r>
        <w:t>subsidiaire à savoir qu'il avait servi d'intermédiaire dans la vente de</w:t>
      </w:r>
    </w:p>
    <w:p>
      <w:r>
        <w:t>220 gr. de cocaïne. Pour fixer la peine, les premiers juges ont considéré</w:t>
      </w:r>
    </w:p>
    <w:p>
      <w:r>
        <w:t>que l'activité délictueuse du prévenu avait été particulièrement grave au</w:t>
      </w:r>
    </w:p>
    <w:p>
      <w:r>
        <w:t>vu de la quantité importante de drogue pour laquelle il avait servi</w:t>
      </w:r>
    </w:p>
    <w:p>
      <w:r>
        <w:t>d'intermédiaire et du fait qu'il n'était pas lui-même consommateur. D'un</w:t>
      </w:r>
    </w:p>
    <w:p>
      <w:r>
        <w:t>autre côté, G.  était un délinquant primaire au</w:t>
      </w:r>
    </w:p>
    <w:p>
      <w:r>
        <w:t>sujet duquel de bons renseignements avaient été fournis. Il s'était bien</w:t>
      </w:r>
    </w:p>
    <w:p>
      <w:r>
        <w:t>ressaisi depuis qu'il vivait en concubinage et s'occupait de deux enfants.</w:t>
      </w:r>
    </w:p>
    <w:p>
      <w:r>
        <w:t>En outre, il avait laissé une excellente impression à l'audience de</w:t>
      </w:r>
    </w:p>
    <w:p>
      <w:r>
        <w:t>jugement.</w:t>
      </w:r>
    </w:p>
    <w:p>
      <w:r>
        <w:t>B.      Le ministère public se pourvoit en cassation contre ce jugement</w:t>
      </w:r>
    </w:p>
    <w:p>
      <w:r>
        <w:t>et conclut à l'annulation de celui-ci ainsi qu'au renvoi de la cause pour</w:t>
      </w:r>
    </w:p>
    <w:p>
      <w:r>
        <w:t>nouveau jugement. Il invoque explicitement une fausse application de la</w:t>
      </w:r>
    </w:p>
    <w:p>
      <w:r>
        <w:t>loi et implicitement l'arbitraire. Il fait valoir en bref que le Tribunal</w:t>
      </w:r>
    </w:p>
    <w:p>
      <w:r>
        <w:t>correctionnel a violé l'article 63 CP en prononçant une peine insoutenable</w:t>
      </w:r>
    </w:p>
    <w:p>
      <w:r>
        <w:t>parce qu'arbitrairement clémente. Le recourant laisse également entendre</w:t>
      </w:r>
    </w:p>
    <w:p>
      <w:r>
        <w:t>que la motivation est insuffisante et qu'elle ne permet pas de déterminer</w:t>
      </w:r>
    </w:p>
    <w:p>
      <w:r>
        <w:t>si tous les éléments qui doivent être pris en considération dans l'appli-</w:t>
      </w:r>
    </w:p>
    <w:p>
      <w:r>
        <w:t>cation de l'article 63 CP ont été correctement évalués.</w:t>
      </w:r>
    </w:p>
    <w:p>
      <w:r>
        <w:t>C.      Le président du Tribunal correctionnel du district de La Chaux-</w:t>
      </w:r>
    </w:p>
    <w:p>
      <w:r>
        <w:t>de-Fonds ne formule ni conclusions, ni observations.</w:t>
      </w:r>
    </w:p>
    <w:p>
      <w:r>
        <w:t>Pour sa part, G.  conclut au rejet du</w:t>
      </w:r>
    </w:p>
    <w:p>
      <w:r>
        <w:t>pourvoi dans toutes ses conclusions sous suite de frais et dépens. Il ex-</w:t>
      </w:r>
    </w:p>
    <w:p>
      <w:r>
        <w:t>pose en substance que les premiers juges n'ont pas faussement appliqué la</w:t>
      </w:r>
    </w:p>
    <w:p>
      <w:r>
        <w:t>loi, qu'ils ont pris en considération tous les éléments qui s'imposaient</w:t>
      </w:r>
    </w:p>
    <w:p>
      <w:r>
        <w:t>pour fixer la peine et que celle-ci qui n'est que de six mois inférieure à</w:t>
      </w:r>
    </w:p>
    <w:p>
      <w:r>
        <w:t>celle requise par le ministère public ne peut être qualifiée d'arbitraire-</w:t>
      </w:r>
    </w:p>
    <w:p>
      <w:r>
        <w:t>ment clémente.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Le juge fixe la peine d'après la culpabilité du délinquant en</w:t>
      </w:r>
    </w:p>
    <w:p>
      <w:r>
        <w:t>tenant compte de ses mobiles, de ses antécédents et de sa situation per-</w:t>
      </w:r>
    </w:p>
    <w:p>
      <w:r>
        <w:t>sonnelle (art.63 CP).</w:t>
      </w:r>
    </w:p>
    <w:p>
      <w:r>
        <w:t>N'étant pas une juridiction d'appel, la Cour de cassation n'a</w:t>
      </w:r>
    </w:p>
    <w:p>
      <w:r>
        <w:t>pas à fixer la peine d'après sa propre appréciation. A cet égard, son pou-</w:t>
      </w:r>
    </w:p>
    <w:p>
      <w:r>
        <w:t>voir d'examen n'est pas plus étendu que celui de la Cour de cassation pé-</w:t>
      </w:r>
    </w:p>
    <w:p>
      <w:r>
        <w:t>nale du Tribunal fédéral (RJN 7 II 115, 5 II 124). La Cour n'intervient</w:t>
      </w:r>
    </w:p>
    <w:p>
      <w:r>
        <w:t>dès lors que si le premier juge a outrepassé son pouvoir en prononçant un</w:t>
      </w:r>
    </w:p>
    <w:p>
      <w:r>
        <w:t>jugement manifestement insoutenable parce qu'arbitrairement sévère ou clé-</w:t>
      </w:r>
    </w:p>
    <w:p>
      <w:r>
        <w:t>ment, aboutissant à un résultat gravement choquant, inexplicable, en con-</w:t>
      </w:r>
    </w:p>
    <w:p>
      <w:r>
        <w:t>tradiction avec les motifs ou fondé sur des critères dénués de pertinence.</w:t>
      </w:r>
    </w:p>
    <w:p>
      <w:r>
        <w:t>La Cour doit également annuler un jugement lorsqu'elle n'est pas en mesure</w:t>
      </w:r>
    </w:p>
    <w:p>
      <w:r>
        <w:t>de déterminer si tous les éléments qui doivent être pris en considération</w:t>
      </w:r>
    </w:p>
    <w:p>
      <w:r>
        <w:t>ont été correctement évalués, c'est-à-dire si la motivation est insuffi-</w:t>
      </w:r>
    </w:p>
    <w:p>
      <w:r>
        <w:t>sante pour permettre de contrôler le respect de l'article 63 CP (RJN 6 II</w:t>
      </w:r>
    </w:p>
    <w:p>
      <w:r>
        <w:t>127; ATF 116 IV 290, 117 IV 112, 118 IV 18; Corboz, La motivation de la</w:t>
      </w:r>
    </w:p>
    <w:p>
      <w:r>
        <w:t>peine, RSJB 1995 p.5 et ss.).</w:t>
      </w:r>
    </w:p>
    <w:p>
      <w:r>
        <w:t>En matière de fixation de la peine, le critère essentiel est</w:t>
      </w:r>
    </w:p>
    <w:p>
      <w:r>
        <w:t>celui de la gravité de la faute. Le juge doit prendre en considération, à</w:t>
      </w:r>
    </w:p>
    <w:p>
      <w:r>
        <w:t>cet égard, en premier lieu les éléments qui portent sur l'acte lui-même, à</w:t>
      </w:r>
    </w:p>
    <w:p>
      <w:r>
        <w:t>savoir sur le résultat de l'activité illicite, sur le mode d'exécution et,</w:t>
      </w:r>
    </w:p>
    <w:p>
      <w:r>
        <w:t>du point de vue subjectif, sur l'intensité de la volonté délictueuse</w:t>
      </w:r>
    </w:p>
    <w:p>
      <w:r>
        <w:t>ainsi que sur les mobiles (ATF 118 IV 21 cons.2b). L'importance de la</w:t>
      </w:r>
    </w:p>
    <w:p>
      <w:r>
        <w:t>faute dépend aussi de la liberté de décision dont disposait l'auteur; plus</w:t>
      </w:r>
    </w:p>
    <w:p>
      <w:r>
        <w:t>il lui aurait été facile de respecter la norme qu'il a enfreinte, plus</w:t>
      </w:r>
    </w:p>
    <w:p>
      <w:r>
        <w:t>lourdement pèse la décision de l'avoir transgressée et partant sa faute</w:t>
      </w:r>
    </w:p>
    <w:p>
      <w:r>
        <w:t>(ATF 117 IV 7; 117 IV 114). Outre l'importance du résultat produit, la</w:t>
      </w:r>
    </w:p>
    <w:p>
      <w:r>
        <w:t>manière dont ce résultat a été atteint, les objectifs de l'auteur et ses</w:t>
      </w:r>
    </w:p>
    <w:p>
      <w:r>
        <w:t>mobiles, il faut encore prendre en considération ses antécédents, sa</w:t>
      </w:r>
    </w:p>
    <w:p>
      <w:r>
        <w:t>situation personnelle, son comportement postérieur à l'infraction et</w:t>
      </w:r>
    </w:p>
    <w:p>
      <w:r>
        <w:t>durant l'enquête tel que le repentir, la prise de conscience, l'aptitude à</w:t>
      </w:r>
    </w:p>
    <w:p>
      <w:r>
        <w:t>subir avec succès la peine infligée (ATF 112 IV 112). Au demeurant,</w:t>
      </w:r>
    </w:p>
    <w:p>
      <w:r>
        <w:t>lorsque le juge envisage d'infliger une peine privative de liberté ne</w:t>
      </w:r>
    </w:p>
    <w:p>
      <w:r>
        <w:t>dépassant pas de beaucoup 18 mois et que les conditions générales pour</w:t>
      </w:r>
    </w:p>
    <w:p>
      <w:r>
        <w:t>l'octroi du sursis sont réunies, il doit se demander si, au vu de la</w:t>
      </w:r>
    </w:p>
    <w:p>
      <w:r>
        <w:t>situation personnelle de l'auteur, une peine ferme aurait l'effet de</w:t>
      </w:r>
    </w:p>
    <w:p>
      <w:r>
        <w:t>prévention spéciale souhaitée. Si, au moment du jugement, l'auteur paraît</w:t>
      </w:r>
    </w:p>
    <w:p>
      <w:r>
        <w:t>bien inséré dans la vie professionnelle et qu'il bénéficie de bonnes</w:t>
      </w:r>
    </w:p>
    <w:p>
      <w:r>
        <w:t>relations familiales, situation qu'une peine ferme risquerait de</w:t>
      </w:r>
    </w:p>
    <w:p>
      <w:r>
        <w:t>compromettre, le juge peut atténuer la peine qui aurait été normalement</w:t>
      </w:r>
    </w:p>
    <w:p>
      <w:r>
        <w:t>appropriée au genre d'infraction (ATF 118 IV 7 337).</w:t>
      </w:r>
    </w:p>
    <w:p>
      <w:r>
        <w:t>b) En l'occurrence, la peine privative de liberté de deux ans</w:t>
      </w:r>
    </w:p>
    <w:p>
      <w:r>
        <w:t>requise par le ministère public ne dépassait pas de beaucoup 18 mois. Les</w:t>
      </w:r>
    </w:p>
    <w:p>
      <w:r>
        <w:t>conditions générales pour l'octroi du sursis étaient réunies. En outre,</w:t>
      </w:r>
    </w:p>
    <w:p>
      <w:r>
        <w:t>les premiers juge n'ont retenu à l'encontre du prévenu que son activité</w:t>
      </w:r>
    </w:p>
    <w:p>
      <w:r>
        <w:t>d'intermédiaire à deux reprises pour la vente de 220 gr. de cocaïne entre</w:t>
      </w:r>
    </w:p>
    <w:p>
      <w:r>
        <w:t>un dénommé «J.» et R. , ce qui était certainement moins</w:t>
      </w:r>
    </w:p>
    <w:p>
      <w:r>
        <w:t>grave que la prévention principale, même si elle portait sur la même</w:t>
      </w:r>
    </w:p>
    <w:p>
      <w:r>
        <w:t>quantité de drogue. Dans ce domaine, en effet, on ne saurait mettre sur le</w:t>
      </w:r>
    </w:p>
    <w:p>
      <w:r>
        <w:t>même pied celui qui acquiert ou vend des stupéfiants et celui qui se</w:t>
      </w:r>
    </w:p>
    <w:p>
      <w:r>
        <w:t>contente de mettre en contact deux personnes (cf ATF 121 IV 206). Dans ces</w:t>
      </w:r>
    </w:p>
    <w:p>
      <w:r>
        <w:t>conditions, et compte tenu des autres circonstances justement relevées par</w:t>
      </w:r>
    </w:p>
    <w:p>
      <w:r>
        <w:t>les premiers juges, il n'apparaît pas que ceux-ci ont abusé de leur</w:t>
      </w:r>
    </w:p>
    <w:p>
      <w:r>
        <w:t>pouvoir d'appréciation en prononçant une peine compatible avec le sursis.</w:t>
      </w:r>
    </w:p>
    <w:p>
      <w:r>
        <w:t>3.      Le pourvoi se révèle ainsi mal fondé et doit être rejeté. Les</w:t>
      </w:r>
    </w:p>
    <w:p>
      <w:r>
        <w:t>frais seront laissés à la charge de l'Etat. Il n'y a pas lieu à dépens, le</w:t>
      </w:r>
    </w:p>
    <w:p>
      <w:r>
        <w:t>Code de procédure pénale ne prévoyant pas la condamnation de l'Etat à ver-</w:t>
      </w:r>
    </w:p>
    <w:p>
      <w:r>
        <w:t>ser une telle indemnité.</w:t>
      </w:r>
    </w:p>
    <w:p>
      <w:r>
        <w:t>Par ces motifs,</w:t>
      </w:r>
    </w:p>
    <w:p>
      <w:r>
        <w:t>LA COUR DE CASSATION PENALE</w:t>
      </w:r>
    </w:p>
    <w:p>
      <w:r>
        <w:t>1. Rejette le pourvoi.</w:t>
      </w:r>
    </w:p>
    <w:p>
      <w:r>
        <w:t>2. Laisse les frais à la charge de l'Etat.</w:t>
      </w:r>
    </w:p>
    <w:p>
      <w:r>
        <w:t>Neuchâtel, le 21 mars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