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CCP.1996.6283 vom 19. Juni 1996</w:t>
      </w:r>
    </w:p>
    <w:p>
      <w:r>
        <w:t>NE Tribunal cantonal, 1996-06-19, FR</w:t>
      </w:r>
    </w:p>
    <w:p>
      <w:r>
        <w:rPr>
          <w:b/>
        </w:rPr>
        <w:t xml:space="preserve">Quelle: </w:t>
      </w:r>
      <w:r>
        <w:t>https://mcp.opencaselaw.ch/entscheid/ne_gerichte_CCP.1996.6283</w:t>
      </w:r>
    </w:p>
    <w:p>
      <w:r>
        <w:t>FR: NE_GERICHTE CCP.1996.6283 du 19 juin 1996</w:t>
      </w:r>
    </w:p>
    <w:p>
      <w:r>
        <w:t>IT: NE_GERICHTE CCP.1996.6283 del 19 giugno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Arrête les frais de la cause à 330 francs et les met à la charge du recourant.</w:t>
      </w:r>
    </w:p>
    <w:p>
      <w:r>
        <w:rPr>
          <w:b/>
        </w:rPr>
        <w:t>E. 3</w:t>
      </w:r>
    </w:p>
    <w:p>
      <w:r>
        <w:t>Condamne le recourant à verser à V. une indemnité de dépens de 200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