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CCP.1995.6256 vom 12. März 1996</w:t>
      </w:r>
    </w:p>
    <w:p>
      <w:r>
        <w:t>NE Tribunal cantonal, 1996-03-12, FR</w:t>
      </w:r>
    </w:p>
    <w:p>
      <w:r>
        <w:rPr>
          <w:b/>
        </w:rPr>
        <w:t xml:space="preserve">Quelle: </w:t>
      </w:r>
      <w:r>
        <w:t>https://mcp.opencaselaw.ch/entscheid/ne_gerichte_CCP.1995.6256</w:t>
      </w:r>
    </w:p>
    <w:p>
      <w:r>
        <w:t>FR: NE_GERICHTE CCP.1995.6256 du 12 mars 1996</w:t>
      </w:r>
    </w:p>
    <w:p>
      <w:r>
        <w:t>IT: NE_GERICHTE CCP.1995.6256 del 12 marzo 1996</w:t>
      </w:r>
    </w:p>
    <w:p>
      <w:pPr>
        <w:pStyle w:val="Heading2"/>
      </w:pPr>
      <w:r>
        <w:t>Volltext</w:t>
      </w:r>
    </w:p>
    <w:p>
      <w:r>
        <w:t>A.      Aux termes d'un procès-verbal du 10 février 1995, le Service de</w:t>
      </w:r>
    </w:p>
    <w:p>
      <w:r>
        <w:t>l'inspection et de la santé au travail du canton de Neuchâtel a dénoncé</w:t>
      </w:r>
    </w:p>
    <w:p>
      <w:r>
        <w:t>A., transporteur à Travers, pour infractions au sens des</w:t>
      </w:r>
    </w:p>
    <w:p>
      <w:r>
        <w:t>articles 8/1-3, 22/2 et 28/4 OTR, pour ne pas avoir veillé régulièrement,</w:t>
      </w:r>
    </w:p>
    <w:p>
      <w:r>
        <w:t>en sa qualité de responsable des chauffeurs de son entreprise, à ce que</w:t>
      </w:r>
    </w:p>
    <w:p>
      <w:r>
        <w:t>son chauffeur  B. respecte les prescriptions de l'OTR en matière</w:t>
      </w:r>
    </w:p>
    <w:p>
      <w:r>
        <w:t>de durée du travail. Le chauffeur  B. n'avait en effet pas res-</w:t>
      </w:r>
    </w:p>
    <w:p>
      <w:r>
        <w:t>pecté les pauses prescrites à 26 reprises durant la période du 4 novembre</w:t>
      </w:r>
    </w:p>
    <w:p>
      <w:r>
        <w:t>1994 au 12 janvier 1995.</w:t>
      </w:r>
    </w:p>
    <w:p>
      <w:r>
        <w:t>Par ordonnance pénale du 14 février 1995, le ministère public a</w:t>
      </w:r>
    </w:p>
    <w:p>
      <w:r>
        <w:t>dès lors condamné de ce chef A. à une amende de 300</w:t>
      </w:r>
    </w:p>
    <w:p>
      <w:r>
        <w:t>francs ainsi qu'à 40 francs de frais. A. a formé opposi-</w:t>
      </w:r>
    </w:p>
    <w:p>
      <w:r>
        <w:t>tion en temps utile contre cette ordonnance pénale. Il a dès lors été ren-</w:t>
      </w:r>
    </w:p>
    <w:p>
      <w:r>
        <w:t>voyé devant le Tribunal de police du district du Val-de-Travers lequel,</w:t>
      </w:r>
    </w:p>
    <w:p>
      <w:r>
        <w:t>par jugement dont est recours du 23 juin 1995, l'a condamné à 300 francs</w:t>
      </w:r>
    </w:p>
    <w:p>
      <w:r>
        <w:t>d'amende et aux frais judiciaires arrêtés à 250 francs, en application des</w:t>
      </w:r>
    </w:p>
    <w:p>
      <w:r>
        <w:t>dispositions légales précitées et de l'article 89 CPPN. En bref, le tribu-</w:t>
      </w:r>
    </w:p>
    <w:p>
      <w:r>
        <w:t>nal a retenu que A. avait bien qualité d'employeur de</w:t>
      </w:r>
    </w:p>
    <w:p>
      <w:r>
        <w:t>B., qu'il n'avait pas fait diligence aux fins d'empêcher ce der-</w:t>
      </w:r>
    </w:p>
    <w:p>
      <w:r>
        <w:t>nier d'enfreindre l'OTR à 26 reprises, durant la période du 4 novembre</w:t>
      </w:r>
    </w:p>
    <w:p>
      <w:r>
        <w:t>1994 au 12 janvier 1995, et qu'il ne pouvait pas se prévaloir d'une erreur</w:t>
      </w:r>
    </w:p>
    <w:p>
      <w:r>
        <w:t>de droit au sens de l'article 20 CP.</w:t>
      </w:r>
    </w:p>
    <w:p>
      <w:r>
        <w:t>B.      A. se pourvoit en cassation contre ce jugement.</w:t>
      </w:r>
    </w:p>
    <w:p>
      <w:r>
        <w:t>Se prévalant d'une fausse application de la loi, il conclut à l'annulation</w:t>
      </w:r>
    </w:p>
    <w:p>
      <w:r>
        <w:t>du jugement de première instance, et dès lors à son acquittement, subsi-</w:t>
      </w:r>
    </w:p>
    <w:p>
      <w:r>
        <w:t>diairement à l'exemption de toute peine pour erreur de droit, éventuelle-</w:t>
      </w:r>
    </w:p>
    <w:p>
      <w:r>
        <w:t>ment au renvoi de la cause pour nouveau jugement, sous suite de frais et</w:t>
      </w:r>
    </w:p>
    <w:p>
      <w:r>
        <w:t>dépens. A l'appui de son pourvoi, le recourant fait valoir en bref qu'il</w:t>
      </w:r>
    </w:p>
    <w:p>
      <w:r>
        <w:t>n'a pas qualité d'employeur responsable au sens de l'article 22/2 OTR, dès</w:t>
      </w:r>
    </w:p>
    <w:p>
      <w:r>
        <w:t>lors que c'est son épouse qui est patron de l'entreprise de Transports</w:t>
      </w:r>
    </w:p>
    <w:p>
      <w:r>
        <w:t>A., et qu'il n'en est que le salarié. Subsidiairement, le recourant se</w:t>
      </w:r>
    </w:p>
    <w:p>
      <w:r>
        <w:t>prévaut d'une erreur de droit au sens de l'article 20 CP, en soutenant</w:t>
      </w:r>
    </w:p>
    <w:p>
      <w:r>
        <w:t>qu'il a toujours été convaincu qu'il n'encourait aucune responsabilité</w:t>
      </w:r>
    </w:p>
    <w:p>
      <w:r>
        <w:t>pénale au cas où son chauffeur contreviendrait à l'OTR en dépit des aver-</w:t>
      </w:r>
    </w:p>
    <w:p>
      <w:r>
        <w:t>tissements qui lui avaient été donnés.</w:t>
      </w:r>
    </w:p>
    <w:p>
      <w:r>
        <w:t>C.      Le président suppléant du tribunal de police ne formule ni</w:t>
      </w:r>
    </w:p>
    <w:p>
      <w:r>
        <w:t>observations ni conclusions. Le substitut du procureur conclut au rejet du</w:t>
      </w:r>
    </w:p>
    <w:p>
      <w:r>
        <w:t>pourvoi, sans formuler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Il résulte de l'article 28 al.4 OTR que l'employeur qui a</w:t>
      </w:r>
    </w:p>
    <w:p>
      <w:r>
        <w:t>incité un conducteur à commettre un acte punissable en vertu de ladite</w:t>
      </w:r>
    </w:p>
    <w:p>
      <w:r>
        <w:t>ordonnance, ou qui n'a pas empêché selon ses possibilités une telle in-</w:t>
      </w:r>
    </w:p>
    <w:p>
      <w:r>
        <w:t>fraction, est passible de la même peine que le conducteur. Selon la doc-</w:t>
      </w:r>
    </w:p>
    <w:p>
      <w:r>
        <w:t>trine dominante, l'employeur est défini comme étant celui qui fournit à</w:t>
      </w:r>
    </w:p>
    <w:p>
      <w:r>
        <w:t>d'autres personnes une activité rémunérée et qui a la compétence de déter-</w:t>
      </w:r>
    </w:p>
    <w:p>
      <w:r>
        <w:t>miner les prestations de travail à fournir. L'élément caractéristique dé-</w:t>
      </w:r>
    </w:p>
    <w:p>
      <w:r>
        <w:t>finissant l'employeur est le fait que d'autres personnes sont dépendantes</w:t>
      </w:r>
    </w:p>
    <w:p>
      <w:r>
        <w:t>de lui, parce qu'il met à leur disposition une activité rémunérée et qu'il</w:t>
      </w:r>
    </w:p>
    <w:p>
      <w:r>
        <w:t>a le pouvoir de leur donner des directives concernant leur travail. Le</w:t>
      </w:r>
    </w:p>
    <w:p>
      <w:r>
        <w:t>critère déterminant pour définir la personne de l'employeur est donc le</w:t>
      </w:r>
    </w:p>
    <w:p>
      <w:r>
        <w:t>lien de subordination qui le lie à l'employé (Schultz, Strafbestimmungen</w:t>
      </w:r>
    </w:p>
    <w:p>
      <w:r>
        <w:t>des SVG, Berne 1964, p.45-46; Rehberg/Schmid, Strafrecht III, 6e éd.,</w:t>
      </w:r>
    </w:p>
    <w:p>
      <w:r>
        <w:t>Zurich 1994, p.233). Est employeur la personne qui s'est fait promettre</w:t>
      </w:r>
    </w:p>
    <w:p>
      <w:r>
        <w:t>des prestations de travail, peu importe qu'elle l'ait fait pour son propre</w:t>
      </w:r>
    </w:p>
    <w:p>
      <w:r>
        <w:t>compte ou pas, dès lors que l'employeur peut en même temps être l'employé</w:t>
      </w:r>
    </w:p>
    <w:p>
      <w:r>
        <w:t>d'un tiers (Honsell/Vogt/Wiegand, Bâle 1992, p.1569; Tercier, Les contrats</w:t>
      </w:r>
    </w:p>
    <w:p>
      <w:r>
        <w:t>spéciaux, 2e éd., Zurich 1995, p.306).</w:t>
      </w:r>
    </w:p>
    <w:p>
      <w:r>
        <w:t>b) Dans le cas d'espèce, il résulte clairement du jugement en-</w:t>
      </w:r>
    </w:p>
    <w:p>
      <w:r>
        <w:t>trepris que le chauffeur  B. a été engagé par A.</w:t>
      </w:r>
    </w:p>
    <w:p>
      <w:r>
        <w:t>personnellement, que ce dernier a contrôlé l'exécution de son travail en</w:t>
      </w:r>
    </w:p>
    <w:p>
      <w:r>
        <w:t>le rendant notamment attentif à l'obligation de faire attention au tachy-</w:t>
      </w:r>
    </w:p>
    <w:p>
      <w:r>
        <w:t>graphe, qu'il a rédigé à son intention un aide-mémoire lui rappelant ses</w:t>
      </w:r>
    </w:p>
    <w:p>
      <w:r>
        <w:t>différentes tâches, qu'il vérifiait chaque semaine le carnet de travail du</w:t>
      </w:r>
    </w:p>
    <w:p>
      <w:r>
        <w:t>chauffeur, et que l'entreprise "Transports A." est une entreprise fa-</w:t>
      </w:r>
    </w:p>
    <w:p>
      <w:r>
        <w:t>miliale qu'il a reprise de ses parents le 1er janvier 1979, et dont il</w:t>
      </w:r>
    </w:p>
    <w:p>
      <w:r>
        <w:t>assume la responsabilité (jugement, cons.1 et 6). A eux seuls, ces diffé-</w:t>
      </w:r>
    </w:p>
    <w:p>
      <w:r>
        <w:t>rents éléments autorisaient sans nul doute le premier juge a considérer</w:t>
      </w:r>
    </w:p>
    <w:p>
      <w:r>
        <w:t>que le recourant était bel et bien l'employeur de B. au sens de</w:t>
      </w:r>
    </w:p>
    <w:p>
      <w:r>
        <w:t>l'OTR.</w:t>
      </w:r>
    </w:p>
    <w:p>
      <w:r>
        <w:t>Le recourant tente bien de soutenir qu'il n'est lui-même qu'em-</w:t>
      </w:r>
    </w:p>
    <w:p>
      <w:r>
        <w:t>ployé de l'entreprise A., dont son épouse serait la patronne. Cette</w:t>
      </w:r>
    </w:p>
    <w:p>
      <w:r>
        <w:t>affirmation n'est toutefois corroborée par aucune preuve, ni même aucun</w:t>
      </w:r>
    </w:p>
    <w:p>
      <w:r>
        <w:t>indice matériel. En tout état de cause, quels que soient les véritables</w:t>
      </w:r>
    </w:p>
    <w:p>
      <w:r>
        <w:t>rapports internes unissant le recourant à son épouse au niveau de l'en-</w:t>
      </w:r>
    </w:p>
    <w:p>
      <w:r>
        <w:t>treprise de transports, il n'en demeurerait pas moins que c'est avec</w:t>
      </w:r>
    </w:p>
    <w:p>
      <w:r>
        <w:t>A. que le chauffeur  B. était lié par un lien de</w:t>
      </w:r>
    </w:p>
    <w:p>
      <w:r>
        <w:t>subordination, puisque selon les constatations souveraines du premier</w:t>
      </w:r>
    </w:p>
    <w:p>
      <w:r>
        <w:t>juge, le recourant avait la compétence de le licencier ou de le menacer de</w:t>
      </w:r>
    </w:p>
    <w:p>
      <w:r>
        <w:t>licenciement (jugement, p.4 in fine).</w:t>
      </w:r>
    </w:p>
    <w:p>
      <w:r>
        <w:t>Sur ce point, le pourvoi est dès lors manifestement mal fondé.</w:t>
      </w:r>
    </w:p>
    <w:p>
      <w:r>
        <w:t>3.      a) Selon l'article 20 CP, le juge peut, à l'égard de celui qui a</w:t>
      </w:r>
    </w:p>
    <w:p>
      <w:r>
        <w:t>commis un crime ou un délit alors qu'il avait des raisons suffisantes de</w:t>
      </w:r>
    </w:p>
    <w:p>
      <w:r>
        <w:t>se croire en droit d'agir, atténuer librement la peine ou même exempter le</w:t>
      </w:r>
    </w:p>
    <w:p>
      <w:r>
        <w:t>prévenu. Cette disposition s'applique également en matière de contraven-</w:t>
      </w:r>
    </w:p>
    <w:p>
      <w:r>
        <w:t>tion (102 CP). Selon la jurisprudence relative à l'article 20 CP il faut,</w:t>
      </w:r>
    </w:p>
    <w:p>
      <w:r>
        <w:t>pour que l'auteur puisse être mis au bénéfice de l'erreur de droit, non</w:t>
      </w:r>
    </w:p>
    <w:p>
      <w:r>
        <w:t>seulement qu'il ait eu ou cru avoir des raisons suffisantes d'admettre que</w:t>
      </w:r>
    </w:p>
    <w:p>
      <w:r>
        <w:t>son acte n'était en rien contraire au droit (ATF 105 IV 181), mais encore</w:t>
      </w:r>
    </w:p>
    <w:p>
      <w:r>
        <w:t>que ces raisons excusent son erreur (ATF 100 IV 49). A cet égard, l'igno-</w:t>
      </w:r>
    </w:p>
    <w:p>
      <w:r>
        <w:t>rance de la loi ne constitue pas, en principe, une raison suffisante (ATF</w:t>
      </w:r>
    </w:p>
    <w:p>
      <w:r>
        <w:t>98 IV 253). Par contre, pour exclure l'application de l'article 20 CP, il</w:t>
      </w:r>
    </w:p>
    <w:p>
      <w:r>
        <w:t>suffit que l'auteur ait eu le sentiment de faire quelque chose de contrai-</w:t>
      </w:r>
    </w:p>
    <w:p>
      <w:r>
        <w:t>re à ce qui se doit (ATF 104 IV 217) ou qu'il n'ait pas pris les précau-</w:t>
      </w:r>
    </w:p>
    <w:p>
      <w:r>
        <w:t>tions exigibles de toute personne consciencieuse pour éviter son erreur</w:t>
      </w:r>
    </w:p>
    <w:p>
      <w:r>
        <w:t>(Logoz, Commentaire du CPS, Partie générale, Neuchâtel 1976, p.106). La</w:t>
      </w:r>
    </w:p>
    <w:p>
      <w:r>
        <w:t>loi commande ainsi à l'auteur qu'il fasse preuve de scrupule et de</w:t>
      </w:r>
    </w:p>
    <w:p>
      <w:r>
        <w:t>réflexion et qu'il prenne, cas échéant, le conseil d'une autorité ou de</w:t>
      </w:r>
    </w:p>
    <w:p>
      <w:r>
        <w:t>personnes dignes de confiance (ATF 99 IV 185).</w:t>
      </w:r>
    </w:p>
    <w:p>
      <w:r>
        <w:t>b) En l'espèce, il résulte des propres explications du recourant</w:t>
      </w:r>
    </w:p>
    <w:p>
      <w:r>
        <w:t>au premier juge qu'il connaissait les carences de son chauffeur en matière</w:t>
      </w:r>
    </w:p>
    <w:p>
      <w:r>
        <w:t>de durée du travail, qu'il lui a même dit : "Méfie-toi de tes disques",</w:t>
      </w:r>
    </w:p>
    <w:p>
      <w:r>
        <w:t>qu'il a dû rédiger à son intention un aide-mémoire le rappelant à ses de-</w:t>
      </w:r>
    </w:p>
    <w:p>
      <w:r>
        <w:t>voirs. Au surplus, selon les explications de l'inspecteur du travail</w:t>
      </w:r>
    </w:p>
    <w:p>
      <w:r>
        <w:t>P., entendu comme témoin, le recourant avait déjà reçu des re-</w:t>
      </w:r>
    </w:p>
    <w:p>
      <w:r>
        <w:t>marques de l'autorité compétente en cette matière. Enfin, l'épouse du re-</w:t>
      </w:r>
    </w:p>
    <w:p>
      <w:r>
        <w:t>courant avait elle-même signalé à son mari les dépassements du temps de</w:t>
      </w:r>
    </w:p>
    <w:p>
      <w:r>
        <w:t>travail commis par le chauffeur B., et le recourant lui a dit vouloir</w:t>
      </w:r>
    </w:p>
    <w:p>
      <w:r>
        <w:t>s'en occuper lui-même, ce qui démontre au besoin - comme le premier juge</w:t>
      </w:r>
    </w:p>
    <w:p>
      <w:r>
        <w:t>l'a retenu à bon droit - que A. savait qu'il lui appar-</w:t>
      </w:r>
    </w:p>
    <w:p>
      <w:r>
        <w:t>tenait de prendre les mesures nécessaires pour que de telles infractions</w:t>
      </w:r>
    </w:p>
    <w:p>
      <w:r>
        <w:t>ne soient plus commises.</w:t>
      </w:r>
    </w:p>
    <w:p>
      <w:r>
        <w:t>Dans ces conditions, le recourant ne saurait dès lors, à l'évi-</w:t>
      </w:r>
    </w:p>
    <w:p>
      <w:r>
        <w:t>dence, se prévaloir d'une erreur de droit de sorte que son pourvoi est</w:t>
      </w:r>
    </w:p>
    <w:p>
      <w:r>
        <w:t>également mal fondé sur ce point.</w:t>
      </w:r>
    </w:p>
    <w:p>
      <w:r>
        <w:t>4. Manifestement mal fondé et confinant à la témérité, le pourvoi</w:t>
      </w:r>
    </w:p>
    <w:p>
      <w:r>
        <w:t>doit être rejeté sous suite de frais.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frais, arrêtés à 660 francs, à la charge du recourant.</w:t>
      </w:r>
    </w:p>
    <w:p>
      <w:r>
        <w:t>Neuchâtel, le 12 mars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