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CCC.2009.5 vom 31. August 2009</w:t>
      </w:r>
    </w:p>
    <w:p>
      <w:r>
        <w:t>NE Tribunal cantonal, 2009-08-31, FR</w:t>
      </w:r>
    </w:p>
    <w:p>
      <w:r>
        <w:rPr>
          <w:b/>
        </w:rPr>
        <w:t xml:space="preserve">Quelle: </w:t>
      </w:r>
      <w:r>
        <w:t>https://mcp.opencaselaw.ch/entscheid/ne_gerichte_CCC.2009.5</w:t>
      </w:r>
    </w:p>
    <w:p>
      <w:r>
        <w:t>FR: NE_GERICHTE CCC.2009.5 du 31 août 2009</w:t>
      </w:r>
    </w:p>
    <w:p>
      <w:r>
        <w:t>IT: NE_GERICHTE CCC.2009.5 del 31 agosto 2009</w:t>
      </w:r>
    </w:p>
    <w:p>
      <w:pPr>
        <w:pStyle w:val="Heading2"/>
      </w:pPr>
      <w:r>
        <w:t>Erwägungen</w:t>
      </w:r>
    </w:p>
    <w:p>
      <w:r>
        <w:rPr>
          <w:b/>
        </w:rPr>
        <w:t>E. 1</w:t>
      </w:r>
    </w:p>
    <w:p>
      <w:r>
        <w:t>fixe la contribution pécuniaire à verser par l'une des parties à l'autre;</w:t>
      </w:r>
    </w:p>
    <w:p>
      <w:r>
        <w:rPr>
          <w:b/>
        </w:rPr>
        <w:t>E. 2</w:t>
      </w:r>
    </w:p>
    <w:p>
      <w:r>
        <w:t>prend les mesures en ce qui concerne le logement et le mobilier de ménage;</w:t>
      </w:r>
    </w:p>
    <w:p>
      <w:r>
        <w:rPr>
          <w:b/>
        </w:rPr>
        <w:t>E. 3</w:t>
      </w:r>
    </w:p>
    <w:p>
      <w:r>
        <w:t>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Etat le 5 décembre 2008</w:t>
      </w:r>
    </w:p>
    <w:p>
      <w:r>
        <w:rPr>
          <w:b/>
        </w:rPr>
        <w:t>E. 4</w:t>
      </w:r>
    </w:p>
    <w:p>
      <w:r>
        <w:t>En deuxième lieu, le recourant fait valoir qu'on ne comprend pas le raisonnement du premier juge qui n'a pas pris en compte les revenus de la fortune des époux dans la mesure où chacun d'eux avait reçu une somme équivalente. Le recourant soutient que le choix de placement de la part de fortune reçue effectué par chacune des parties étant différent, les revenus obtenus le sont aussi, de sorte qu'ils auraient dû être retenus à concurrence de 1'000 francs par mois pour l'épouse, mais de seulement 800 francs pour lui-même. Le premier juge a exposé dans l'ordonnance rendue, de manière convaincante, les raisons pour lesquelles il avait choisi de ne pas tenir compte du rendement de la fortune de chacun des conjoints. Le choix opéré n'est en tout cas pas arbitraire. Le recourant n'explique du reste pas comment il arrive à un revenu de fortune de 1'000 francs pour l'épouse, mais de seulement 800 francs pour lui-même, alors que, dans sa réponse à la requête de mesures protectrices du 25 juin 2008, il avançait les montants de 1'500 francs pour lui-même et de 2'000 francs pour l'épouse. Le grief articulé est donc insuffisamment motivé. Le recourant estime également que le juge de première instance aurait dû tenir compte du fait que "la fortune de l'épouse provenait de la mobilisation d'une partie du fonds de prévoyance du mari ainsi que l'utilisation d'un capital provenant de son fonds de prévoyance à elle, dont elle a seule bénéficié, montant qui aurait pu conduire le juge à retenir la possibilité d'un revenu ou à tout le moins d'une rente correspondant à la capitalisation des montants mis à disposition (plus que CHF 375'000)". Cet argument, pour autant qu'on puisse le comprendre, n'est pas pertinent. En effet, si le premier juge avait pris en compte un revenu ou une rente correspondant aux capitaux à disposition de l'épouse, il aurait dû en faire autant concernant les capitaux à disposition du mari.</w:t>
      </w:r>
    </w:p>
    <w:p>
      <w:r>
        <w:rPr>
          <w:b/>
        </w:rPr>
        <w:t>E. 5</w:t>
      </w:r>
    </w:p>
    <w:p>
      <w:r>
        <w:t>En troisième lieu, le recourant reproche au premier juge de ne pas avoir tenu compte du fait que l'intimée touchera, dès le 11 septembre 2009, un revenu supplémentaire de 274 francs par mois, sous la forme d'une rente AVS transitoire. Statuant le 11 décembre 2008, le juge n'avait pas à prendre en considération des changements dans la situation financière des parties qui ne se produiraient que neuf mois plus tard. L'augmentation à intervenir des revenus de l'intimée pourrait être compensée par d'autres modifications dans les revenus ou les charges des parties. Si nécessaire, le recourant pourra solliciter, en temps utile, une modification des mesures protectrices.</w:t>
      </w:r>
    </w:p>
    <w:p>
      <w:r>
        <w:rPr>
          <w:b/>
        </w:rPr>
        <w:t>E. 6</w:t>
      </w:r>
    </w:p>
    <w:p>
      <w:r>
        <w:t>Le recourant fait enfin grief au premier juge ne pas avoir tenu compte, dans les ressources de l'épouse, d'un revenu hypothétique de 1'500 francs par mois qu'elle pourrait obtenir en exerçant une activité lucrative à mi-temps. Un conjoint peut se voir imputer un revenu hypothétique supérieur à celui qu'il réalise, pour autant qu'une augmentation correspondante de revenu soit effectivement possible et qu'elle puisse être raisonnablement exigée de lui. Lorsque la possibilité réelle d'obtenir un revenu supérieur n'existe pas, il faut en faire abstraction. Dans chaque cas concret, il s'agit d'examiner si et dans quelle mesure on peut exiger de l'épouse qu'elle prenne une activité lucrative ou augmente celle qu'elle exerce, compte tenu de son âge, de son état de santé, de sa formation et, cas échéant, du temps plus ou moins long durant lequel elle a été éloignée de la vie professionnelle (arrêt du TF du 12.06.2008 [5A_182/2008] et les réf. cit.). En l'espèce, le premier juge a considéré que la décision commune des conjoints de prendre une retraite anticipée à la fin de l'année 2004 ressortait expressément du document de la Winterthur signé par les parties le 1 er septembre 2004 et intitulé "proposition-décision", par lequel l'intimée optait pour la perception d'un capital de 29'093 francs, le reste de son avoir vieillesse étant touché sous forme de rente. Au vu de cette pièce, le premier juge a considéré qu'il était douteux que l'épouse ait renoncé en 2004 à un poste de travail à la compagnie d’assurances A., comme le prétendait la lettre du responsable d'agence adressée au mandataire du mari le 1 er juillet 2008, étant donné qu'on ne voyait pas pour quelle raison l'épouse aurait souhaité obtenir un capital de retraite de manière anticipée, si elle entendait poursuivre son activité chez le même employeur. Cette appréciation échappe à la critique. Outre le fait que, comme relevé par l'intimée, l'attestation précitée a été établie après l'audience de débats du 1 er juillet 2008 et doit donc être considérée avec réserve, celle-ci n'établit nullement qu'actuellement l'épouse pourrait exercer une activité lucrative à 50 % auprès de l'assureur précité.</w:t>
      </w:r>
    </w:p>
    <w:p>
      <w:r>
        <w:rPr>
          <w:b/>
        </w:rPr>
        <w:t>E. 7</w:t>
      </w:r>
    </w:p>
    <w:p>
      <w:r>
        <w:t>Mal fondé, le recours doit être rejeté. Les frais judiciaires seront mis à la charge du recourant, qui succombe, de même qu'une indemnité de dépens en faveur de l'intimée, qui a présenté des observations par sa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