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CCC.2008.57 vom 28. Juli 2008</w:t>
      </w:r>
    </w:p>
    <w:p>
      <w:r>
        <w:t>NE Tribunal cantonal, 2008-07-28, FR</w:t>
      </w:r>
    </w:p>
    <w:p>
      <w:r>
        <w:rPr>
          <w:b/>
        </w:rPr>
        <w:t xml:space="preserve">Quelle: </w:t>
      </w:r>
      <w:r>
        <w:t>https://mcp.opencaselaw.ch/entscheid/ne_gerichte_CCC.2008.57</w:t>
      </w:r>
    </w:p>
    <w:p>
      <w:r>
        <w:t>FR: NE_GERICHTE CCC.2008.57 du 28 juillet 2008</w:t>
      </w:r>
    </w:p>
    <w:p>
      <w:r>
        <w:t>IT: NE_GERICHTE CCC.2008.57 del 28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</w:t>
      </w:r>
    </w:p>
    <w:p>
      <w:r>
        <w:t>a gravement violé son obligation dentretien de la famille;</w:t>
      </w:r>
    </w:p>
    <w:p>
      <w:r>
        <w:t>2.</w:t>
      </w:r>
    </w:p>
    <w:p>
      <w:r>
        <w:t>a délibérément provoqué la situation de nécessité dans laquelle il se trouve;</w:t>
      </w:r>
    </w:p>
    <w:p>
      <w:r>
        <w:t>3.</w:t>
      </w:r>
    </w:p>
    <w:p>
      <w:r>
        <w:t>a commis une infraction pénale grave contre le débiteur ou un de ses proches.</w:t>
      </w:r>
    </w:p>
    <w:p>
      <w:r>
        <w:rPr>
          <w:b/>
        </w:rPr>
        <w:t>E. 9</w:t>
      </w:r>
    </w:p>
    <w:p>
      <w:r>
        <w:t>Mal fondé, le recours doit être rejeté. Les frais judiciaires, avancés par la recourante, seront mis à la charge de celle-ci. Le recours ne saurait être qualifié de téméraire. Une indemnité de dépens de CHF 400.00 sera allouée à l’intimé qui a procédé.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