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CCC.2008.121 vom 24. August 1984</w:t>
      </w:r>
    </w:p>
    <w:p>
      <w:r>
        <w:t>NE Tribunal cantonal, 1984-08-24, FR</w:t>
      </w:r>
    </w:p>
    <w:p>
      <w:r>
        <w:rPr>
          <w:b/>
        </w:rPr>
        <w:t xml:space="preserve">Quelle: </w:t>
      </w:r>
      <w:r>
        <w:t>https://mcp.opencaselaw.ch/entscheid/ne_gerichte_CCC.2008.121_d19840824</w:t>
      </w:r>
    </w:p>
    <w:p>
      <w:r>
        <w:t>FR: NE_GERICHTE CCC.2008.121 du 24 août 1984</w:t>
      </w:r>
    </w:p>
    <w:p>
      <w:r>
        <w:t>IT: NE_GERICHTE CCC.2008.121 del 24 agosto 1984</w:t>
      </w:r>
    </w:p>
    <w:p>
      <w:pPr>
        <w:pStyle w:val="Heading2"/>
      </w:pPr>
      <w:r>
        <w:t>Regeste</w:t>
      </w:r>
    </w:p>
    <w:p>
      <w:r>
        <w:t>Mesures provisoires. Revenu hypothétique.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