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CCC.2008.113 vom 13. Februar 2009</w:t>
      </w:r>
    </w:p>
    <w:p>
      <w:r>
        <w:t>NE Tribunal cantonal, 2009-02-13, FR</w:t>
      </w:r>
    </w:p>
    <w:p>
      <w:r>
        <w:rPr>
          <w:b/>
        </w:rPr>
        <w:t xml:space="preserve">Quelle: </w:t>
      </w:r>
      <w:r>
        <w:t>https://mcp.opencaselaw.ch/entscheid/ne_gerichte_CCC.2008.113</w:t>
      </w:r>
    </w:p>
    <w:p>
      <w:r>
        <w:t>FR: NE_GERICHTE CCC.2008.113 du 13 février 2009</w:t>
      </w:r>
    </w:p>
    <w:p>
      <w:r>
        <w:t>IT: NE_GERICHTE CCC.2008.113 del 13 febbraio 2009</w:t>
      </w:r>
    </w:p>
    <w:p>
      <w:pPr>
        <w:pStyle w:val="Heading2"/>
      </w:pPr>
      <w:r>
        <w:t>Erwägungen</w:t>
      </w:r>
    </w:p>
    <w:p>
      <w:r>
        <w:rPr>
          <w:b/>
        </w:rPr>
        <w:t>E. 21</w:t>
      </w:r>
    </w:p>
    <w:p>
      <w:r>
        <w:t>al.3 CCNT sans pour autant établir de manière irréfragable que les heures de travail mentionnées ont réellement été effectuées. En l'espèce, le chef de service du recourant, E., entendu comme témoin, a notamment indiqué que le prénommé partait, la plupart du temps, vers 23h00-23h30, alors que le décompte d'heures supplémentaires versé au dossier mentionne régulièrement une fin de service à minuit. Quant aux rouleaux de caisse déposés au dossier, le président du tribunal des prud'hommes s'est adressé à GastroNeuchâtel (D16) en lui demandant si, les rouleaux de caisse étant difficiles à comprendre pour les non-initiés, elle disposait d'un service à qui confier ce "décryptage" et, cas échéant, quel serait le montant des frais. GastroNeuchâtel a renvoyé le président du tribunal à s'adresser à M., administrateur de P. SA à Lausanne, lequel s'est déplacé au greffe, le 3 juillet 2007, pour examiner s'il était possible, sur la base des rouleaux de caisse déposés, de déterminer avec certitude les heures de présence d'un employé dans l'établissement X.. M. a indiqué au greffe que, si certaines caisses récentes étaient équipées d'un système de timbrage, les rouleaux de caisse émanant de la caisse du restaurant exploité par le défendeur ne permettaient pas de déterminer les heures de présence des employés. En effet, si l'employé B avait typé un ovo/chocolat à 8h46, cela ne signifiait en rien qu'il avait commencé son travail dans l'établissement à 8h46. Dès lors, le président du tribunal a fait parvenir aux parties, le 22 octobre 2007, l'échange de courriers et la note du greffe du 3 juillet 2007 (qui ne figure pas au dossier, mais dont le recourant produit une copie en annexe de son mémoire) relatifs à cette question du "décryptage" des rouleaux de caisse, en leur indiquant que ses démarches tendant à trouver une personne à même de renseigner le tribunal sur ce point n'avaient pas abouti. Le recourant n'a pas réagi à cette lettre. Ce dernier, soulignant qu'il n'était pas assisté par un mandataire dans le cadre de la procédure de première instance, reproche au tribunal des prud'hommes de ne pas avoir ordonné d'office une expertise des rouleaux de caisse. Il précise à ce sujet que, dans l'hypothèse la plus défavorable pour lui, les rouleaux de caisse indiquent quand il a utilisé la caisse enregistreuse pour la première fois au début et pour la dernière fois à la fin de son activité. Cette remarque n'est pas dénuée de pertinence. Toutefois une expertise des 43 rouleaux de caisse déposés aurait nécessité un temps considérable et sans doute engendré un coût disproportionné au regard de la valeur litigieuse sans constituer un moyen de preuve absolument fiable pour établir les heures de travail accomplies par le recourant puisqu'il ressort du témoignage E. que le témoin procédait à des opérations à la caisse enregistreuse sous le nom du recourant, lorsque celui-ci quittait son poste plus tôt. Certes, ce témoin a été absent pour maladie du 19 avril au 1 er août 2005, mais ses indications précitées devaient néanmoins être prises en compte puisque le recourant prétend avoir effectué des heures supplémentaires durant toute son activité dans l'établissement X.. En présence d'éléments de preuve contradictoires, le tribunal des prud'hommes se devait de les apprécier avec l'attention nécessaire et, le cas échéant, de déterminer "ex æquo et bono" les heures supplémentaires à retenir. Le jugement de première instance doit dès lors être cassé. La Cour de céans est en mesure de statuer elle-même sur la base du dossier. L'heure d'arrivée du recourant, en début de service, telle qu'elle est mentionnée dans le décompte initial, n'a pas été contestée. En revanche, vu les déclarations du témoin E. au sujet de l'heure à laquelle le recourant terminait son activité, il se justifie de retrancher chaque jour une demi-heure environ sur l'heure de fin de service indiquée et de retenir que la moitié des heures indiquées par le recourant sur son décompte ont été réellement accomplies. L'intimé sera donc condamné à lui verser un montant brut fixé, en chiffres ronds, à 2'500 francs. Il convient encore de souligner que, si le témoin E. a déclaré que les heures en plus étaient toujours rattrapées la semaine suivante de sorte qu'il n'y avait pas d'heures supplémentaires en raison de cette compensation, l'intimé, à qui incombait sur ce point le fardeau de l'allégation, n'a pas fait état d'une telle compensation. 5. La Cour de céans statue sans frais. Vu l'issue de la cause, les dépens de première et deuxième instances peuvent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