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CCC.2005.191 vom 18. Mai 1984</w:t>
      </w:r>
    </w:p>
    <w:p>
      <w:r>
        <w:t>NE Tribunal cantonal, 1984-05-18, FR</w:t>
      </w:r>
    </w:p>
    <w:p>
      <w:r>
        <w:rPr>
          <w:b/>
        </w:rPr>
        <w:t xml:space="preserve">Quelle: </w:t>
      </w:r>
      <w:r>
        <w:t>https://mcp.opencaselaw.ch/entscheid/ne_gerichte_CCC.2005.191_d19840518</w:t>
      </w:r>
    </w:p>
    <w:p>
      <w:r>
        <w:t>FR: NE_GERICHTE CCC.2005.191 du 18 mai 1984</w:t>
      </w:r>
    </w:p>
    <w:p>
      <w:r>
        <w:t>IT: NE_GERICHTE CCC.2005.191 del 18 maggio 1984</w:t>
      </w:r>
    </w:p>
    <w:p>
      <w:pPr>
        <w:pStyle w:val="Heading2"/>
      </w:pPr>
      <w:r>
        <w:t>Regeste</w:t>
      </w:r>
    </w:p>
    <w:p>
      <w:r>
        <w:t>Désignation d'un curateur à la demande d'un enfant dans le cadre de mesures protectrices de l'union conjugale.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dans les formes et délai légaux, le recours est recevable.</w:t>
      </w:r>
    </w:p>
    <w:p>
      <w:r>
        <w:rPr>
          <w:b/>
        </w:rPr>
        <w:t>E. 2</w:t>
      </w:r>
    </w:p>
    <w:p>
      <w:r>
        <w:t>lautorité tutélaire le requiert;</w:t>
      </w:r>
    </w:p>
    <w:p>
      <w:r>
        <w:rPr>
          <w:b/>
        </w:rPr>
        <w:t>E. 3</w:t>
      </w:r>
    </w:p>
    <w:p>
      <w:r>
        <w:t>ordonne la séparation de biens si les circonstances le justifient.</w:t>
      </w:r>
    </w:p>
    <w:p>
      <w:r>
        <w:t>2La requête peut aussi être formée par un époux lorsque la vie commune se révèle impossible, notamment parce que son conjoint la refuse sans y être fondé.</w:t>
      </w:r>
    </w:p>
    <w:p>
      <w:r>
        <w:t>3Lorsquil y a des enfants mineurs, le juge ordonne les mesures nécessaires, daprès les dispositions sur les effets de la filiation.</w:t>
      </w:r>
    </w:p>
    <w:p>
      <w:r>
        <w:rPr>
          <w:b/>
        </w:rPr>
        <w:t>E. 4</w:t>
      </w:r>
    </w:p>
    <w:p>
      <w:r>
        <w:t>Dans la mesure où la violation de l'article 146 al.3 CC a vicié la procédure subséquente, l'ordonnance attaquée sera annulée. Le premier juge sera invité à désigner un curateur à l'enfant D. et à se prononcer sur les conclusions prises par celle-ci.</w:t>
      </w:r>
    </w:p>
    <w:p>
      <w:r>
        <w:rPr>
          <w:b/>
        </w:rPr>
        <w:t>E. 5</w:t>
      </w:r>
    </w:p>
    <w:p>
      <w:r>
        <w:t>Le recours étant admis, l'intimée en supportera les frais de procédure, sans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