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CCC.2001.96 vom 11. Januar 2001</w:t>
      </w:r>
    </w:p>
    <w:p>
      <w:r>
        <w:t>NE Tribunal cantonal, 2001-01-11, FR</w:t>
      </w:r>
    </w:p>
    <w:p>
      <w:r>
        <w:rPr>
          <w:b/>
        </w:rPr>
        <w:t xml:space="preserve">Quelle: </w:t>
      </w:r>
      <w:r>
        <w:t>https://mcp.opencaselaw.ch/entscheid/ne_gerichte_CCC.2001.96_d20010111</w:t>
      </w:r>
    </w:p>
    <w:p>
      <w:r>
        <w:t>FR: NE_GERICHTE CCC.2001.96 du 11 janvier 2001</w:t>
      </w:r>
    </w:p>
    <w:p>
      <w:r>
        <w:t>IT: NE_GERICHTE CCC.2001.96 del 11 gennaio 2001</w:t>
      </w:r>
    </w:p>
    <w:p>
      <w:pPr>
        <w:pStyle w:val="Heading2"/>
      </w:pPr>
      <w:r>
        <w:t>Regeste</w:t>
      </w:r>
    </w:p>
    <w:p>
      <w:r>
        <w:t>Licenciement abusif; congé-modification.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motivation écrite du jugement attaqué a été notifiée au mandataire du recourant le 14 juin 2001, de sorte que le délai de recours expirait le 4 juillet 2001. Posté à cette date, le recours intervient en temps utile. Il respecte par ailleurs les formes légales et il est donc recevable.</w:t>
      </w:r>
    </w:p>
    <w:p>
      <w:r>
        <w:rPr>
          <w:b/>
        </w:rPr>
        <w:t>E. 2</w:t>
      </w:r>
    </w:p>
    <w:p>
      <w:r>
        <w:t>et 3 du jugement entrepris.</w:t>
      </w:r>
    </w:p>
    <w:p>
      <w:r>
        <w:t>2.Renvoie la cause aux premiers juges, pour statuer à nouveau.</w:t>
      </w:r>
    </w:p>
    <w:p>
      <w:r>
        <w:t>3.Condamne l'intimée à verser au recourant une indemnité de dépens de 800 francs.</w:t>
      </w:r>
    </w:p>
    <w:p>
      <w:r>
        <w:t>4.Statue sans frais.</w:t>
      </w:r>
    </w:p>
    <w:p>
      <w:r>
        <w:rPr>
          <w:b/>
        </w:rPr>
        <w:t>E. 3</w:t>
      </w:r>
    </w:p>
    <w:p>
      <w:r>
        <w:t>La fixation de l'indemnité de l'article 336a CO est affaire d'appréciation et il serait incorrect que la Cour se substitue, à cet égard, au tribunal de première instance. Il convient donc de renvoyer la cause pour nouveau jugement sur ce point, en précisant cependant que, parmi les circonstances à prendre en compte (voir par exemple le premier arrêt précité, JT 1998 I, p.309), l'apparente obstination du recourant, alors que l'intimée était assez clairement prête à le réengager peut éventuellement justifier une certaine réduction de l'indemnité prétendue.</w:t>
      </w:r>
    </w:p>
    <w:p>
      <w:r>
        <w:rPr>
          <w:b/>
        </w:rPr>
        <w:t>E. 4</w:t>
      </w:r>
    </w:p>
    <w:p>
      <w:r>
        <w:t>La Cour statue sans frais. L'intimée versera, en revanche, une indemnité de dépens au recourant, alors que les dépens de première instance seront fixés à nouveau, après cassation.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