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CCC.1999.7602 vom 11. Juni 1999</w:t>
      </w:r>
    </w:p>
    <w:p>
      <w:r>
        <w:t>NE Tribunal cantonal, 1999-06-11, FR</w:t>
      </w:r>
    </w:p>
    <w:p>
      <w:r>
        <w:rPr>
          <w:b/>
        </w:rPr>
        <w:t xml:space="preserve">Quelle: </w:t>
      </w:r>
      <w:r>
        <w:t>https://mcp.opencaselaw.ch/entscheid/ne_gerichte_CCC.1999.7602</w:t>
      </w:r>
    </w:p>
    <w:p>
      <w:r>
        <w:t>FR: NE_GERICHTE CCC.1999.7602 du 11 juin 1999</w:t>
      </w:r>
    </w:p>
    <w:p>
      <w:r>
        <w:t>IT: NE_GERICHTE CCC.1999.7602 del 11 giugno 1999</w:t>
      </w:r>
    </w:p>
    <w:p>
      <w:pPr>
        <w:pStyle w:val="Heading2"/>
      </w:pPr>
      <w:r>
        <w:t>Volltext</w:t>
      </w:r>
    </w:p>
    <w:p>
      <w:r>
        <w:t>A.      Se fondant sur un contrat de prêt daté du 21 septembre 1995 en-</w:t>
      </w:r>
    </w:p>
    <w:p>
      <w:r>
        <w:t>tre M. AG  et A. , la première, représentée par R.  AG , a fait notifier à</w:t>
      </w:r>
    </w:p>
    <w:p>
      <w:r>
        <w:t>la seconde le 18 mai 1998 un commandement de payer la somme de 27'106.80</w:t>
      </w:r>
    </w:p>
    <w:p>
      <w:r>
        <w:t>francs plus intérêts à 15 % dès le 30 avril 1998, ainsi que 353.40 francs</w:t>
      </w:r>
    </w:p>
    <w:p>
      <w:r>
        <w:t>d'intérêts moratoires. Le poursuivi a fait opposition totale.</w:t>
      </w:r>
    </w:p>
    <w:p>
      <w:r>
        <w:t>Le 17 décembre 1998, R.  AG  a requis la mainlevée provisoire de</w:t>
      </w:r>
    </w:p>
    <w:p>
      <w:r>
        <w:t>l'opposition, en précisant que selon parution dans la FOSC du 12 juillet</w:t>
      </w:r>
    </w:p>
    <w:p>
      <w:r>
        <w:t>1996, la maison M. AG  avait fusionné avec la maison R.  AG  qui est</w:t>
      </w:r>
    </w:p>
    <w:p>
      <w:r>
        <w:t>chargée de l'administration de tous dossiers de crédit.</w:t>
      </w:r>
    </w:p>
    <w:p>
      <w:r>
        <w:t>B.      Par la décision entreprise, la présidente du Tribunal civil du</w:t>
      </w:r>
    </w:p>
    <w:p>
      <w:r>
        <w:t>district de Neuchâtel rejette la requête. Prenant note de la fusion entre</w:t>
      </w:r>
    </w:p>
    <w:p>
      <w:r>
        <w:t>les deux sociétés, elle relève que c'est M. AG qui figure comme</w:t>
      </w:r>
    </w:p>
    <w:p>
      <w:r>
        <w:t>créancière sur le commandement de payer alors que c'est R.  AG  qui</w:t>
      </w:r>
    </w:p>
    <w:p>
      <w:r>
        <w:t>sollicite la mainlevée provisoire de l'opposition, en sorte qu'il n'y a</w:t>
      </w:r>
    </w:p>
    <w:p>
      <w:r>
        <w:t>pas identité entre la créancière et la poursuivante.</w:t>
      </w:r>
    </w:p>
    <w:p>
      <w:r>
        <w:t>C. R.  AG  recourt contre cette décision en sollicitant son</w:t>
      </w:r>
    </w:p>
    <w:p>
      <w:r>
        <w:t>annulation et le renvoi de la cause au tribunal du district. Elle conclut</w:t>
      </w:r>
    </w:p>
    <w:p>
      <w:r>
        <w:t>à nouveau à ce que la mainlevée provisoire soit accordée. Elle fait valoir</w:t>
      </w:r>
    </w:p>
    <w:p>
      <w:r>
        <w:t>que "contraire à la présentation du tribunal du district de Neuchâtel les</w:t>
      </w:r>
    </w:p>
    <w:p>
      <w:r>
        <w:t>deux sociétés anonymes M. AG , Berne et la R. AG , Langenthal ont se</w:t>
      </w:r>
    </w:p>
    <w:p>
      <w:r>
        <w:t>fusionnées, certifié par l'office de registre du commerce</w:t>
      </w:r>
    </w:p>
    <w:p>
      <w:r>
        <w:t>Emmental-Oberaargau (fusion entre la M. AG , Berne et la R. AG ,</w:t>
      </w:r>
    </w:p>
    <w:p>
      <w:r>
        <w:t>Langenthal, réf. 24, page 3, RC)".</w:t>
      </w:r>
    </w:p>
    <w:p>
      <w:r>
        <w:t>L'autorité de jugement ne formule pas d'observations.</w:t>
      </w:r>
    </w:p>
    <w:p>
      <w:r>
        <w:t>C O N S I D E R A N T</w:t>
      </w:r>
    </w:p>
    <w:p>
      <w:r>
        <w:t>1.      a) Déposé dans le délai utile, le recours est recevable à ce</w:t>
      </w:r>
    </w:p>
    <w:p>
      <w:r>
        <w:t>titre.</w:t>
      </w:r>
    </w:p>
    <w:p>
      <w:r>
        <w:t>b) Selon la jurisprudence, le recourant doit dire en quoi le</w:t>
      </w:r>
    </w:p>
    <w:p>
      <w:r>
        <w:t>jugement attaqué lui paraît critiquable et en particulier par où pèche,</w:t>
      </w:r>
    </w:p>
    <w:p>
      <w:r>
        <w:t>selon lui, le raisonnement juridique du premier juge (CCC VI, p.173; cf.</w:t>
      </w:r>
    </w:p>
    <w:p>
      <w:r>
        <w:t>aussi CCC VI, p.257, ainsi que RJN 1986, p.84, 1984, p.48 et les référen-</w:t>
      </w:r>
    </w:p>
    <w:p>
      <w:r>
        <w:t>ces). A défaut, le recours est irrecevable (CCC VI, p.174, 257). En l'es-</w:t>
      </w:r>
    </w:p>
    <w:p>
      <w:r>
        <w:t>pèce, la recourante n'expose pas en quoi l'appréciation du premier juge</w:t>
      </w:r>
    </w:p>
    <w:p>
      <w:r>
        <w:t>serait arbitraire. Elle se borne à répéter qu'il y a eu fusion entre les</w:t>
      </w:r>
    </w:p>
    <w:p>
      <w:r>
        <w:t>deux sociétés, sans pourtant dire en quoi le premier juge se serait trompé</w:t>
      </w:r>
    </w:p>
    <w:p>
      <w:r>
        <w:t>ou aurait faussement appliqué la loi. Le recours doit ainsi être tenu pour</w:t>
      </w:r>
    </w:p>
    <w:p>
      <w:r>
        <w:t>irrecevable.</w:t>
      </w:r>
    </w:p>
    <w:p>
      <w:r>
        <w:t>2. Supposé recevable, le recours serait en tous les cas mal fondé.</w:t>
      </w:r>
    </w:p>
    <w:p>
      <w:r>
        <w:t>Il incombe au juge de la mainlevée d'examiner d'office si le titre de</w:t>
      </w:r>
    </w:p>
    <w:p>
      <w:r>
        <w:t>mainlevée produit remplit les conditions d'une reconnaissance de dette</w:t>
      </w:r>
    </w:p>
    <w:p>
      <w:r>
        <w:t>(RJN 1982, p.59; 1 I 48), et notamment s'il y a identité entre le créan-</w:t>
      </w:r>
    </w:p>
    <w:p>
      <w:r>
        <w:t>cier et le poursuivant (v. aussi Gilliéron, Commentaire de la LP, 1999,</w:t>
      </w:r>
    </w:p>
    <w:p>
      <w:r>
        <w:t>n.73 ad art.82). La fusion intervenue en 1996 et dont se prévaut la recou-</w:t>
      </w:r>
    </w:p>
    <w:p>
      <w:r>
        <w:t>rante est expressément fondée sur l'article 748 CO. Il s'agit de la pre-</w:t>
      </w:r>
    </w:p>
    <w:p>
      <w:r>
        <w:t>mière hypothèse de dissolution d'une société anonyme sans liquidation, à</w:t>
      </w:r>
    </w:p>
    <w:p>
      <w:r>
        <w:t>savoir la fusion, et plus précisément la reprise d'une société anonyme par</w:t>
      </w:r>
    </w:p>
    <w:p>
      <w:r>
        <w:t>une autre société de même espèce (v. les notes marginales). Autrement dit,</w:t>
      </w:r>
    </w:p>
    <w:p>
      <w:r>
        <w:t>la société M.  a été dissoute par le fait que la société R.  en reprenait</w:t>
      </w:r>
    </w:p>
    <w:p>
      <w:r>
        <w:t>l'actif et le passif (v. Basler Kommentar, Tschäni, n.6 et 7 ad art.748</w:t>
      </w:r>
    </w:p>
    <w:p>
      <w:r>
        <w:t>CO; Montavon, Droit suisse de la société anonyme, vol.III, p.402 ss). Dès</w:t>
      </w:r>
    </w:p>
    <w:p>
      <w:r>
        <w:t>cette fusion, M. AG  cessait d'exister. Partant, elle ne pouvait plus</w:t>
      </w:r>
    </w:p>
    <w:p>
      <w:r>
        <w:t>apparaître comme créancière et faire notifier un commandement de payer. Le</w:t>
      </w:r>
    </w:p>
    <w:p>
      <w:r>
        <w:t>poursuivi aurait pu s'en plaindre (art.17 LP). Il a préféré faire</w:t>
      </w:r>
    </w:p>
    <w:p>
      <w:r>
        <w:t>opposition totale. En constatant qu'il n'y avait pas d'identité entre la</w:t>
      </w:r>
    </w:p>
    <w:p>
      <w:r>
        <w:t>poursuivante M.  et la requérante en mainlevée R. , le premier juge a</w:t>
      </w:r>
    </w:p>
    <w:p>
      <w:r>
        <w:t>correctement appliqué la loi. De fait, il n'y pas d'identité possible</w:t>
      </w:r>
    </w:p>
    <w:p>
      <w:r>
        <w:t>entre une société poursuivante inexistante et la société requérante; la</w:t>
      </w:r>
    </w:p>
    <w:p>
      <w:r>
        <w:t>poursuite introduite par une société sans personnalité juridique est de</w:t>
      </w:r>
    </w:p>
    <w:p>
      <w:r>
        <w:t>nul effet. Le remplacement, dans la procédure de mainlevée, d'une société</w:t>
      </w:r>
    </w:p>
    <w:p>
      <w:r>
        <w:t>sans personnalité juridique (M. ) par la société qui en avait précédemment</w:t>
      </w:r>
    </w:p>
    <w:p>
      <w:r>
        <w:t>repris les actifs et passifs (R. ) ne peut pas remédier à la nullité de la</w:t>
      </w:r>
    </w:p>
    <w:p>
      <w:r>
        <w:t>poursuite. Le juge de la mainlevée a dès lors eu raison de rejeter une</w:t>
      </w:r>
    </w:p>
    <w:p>
      <w:r>
        <w:t>requête fondée sur une poursuite nulle de plein droit (ATF 120 III 13,</w:t>
      </w:r>
    </w:p>
    <w:p>
      <w:r>
        <w:t>cons.1b, 115 III 14, cons.2c; Gilliéron, op.cit., n.76 ad art.82).</w:t>
      </w:r>
    </w:p>
    <w:p>
      <w:r>
        <w:t>3.      La recourante qui succombe supportera les frais de la procédure</w:t>
      </w:r>
    </w:p>
    <w:p>
      <w:r>
        <w:t>de recours, mais sans dépens à l'intimé qui n'a pas eu à procéder.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Condamne la recourante aux frais qu'elle a avancés par 460 francs.</w:t>
      </w:r>
    </w:p>
    <w:p>
      <w:r>
        <w:t>Neuchâtel, le 11 juin 1999</w:t>
      </w:r>
    </w:p>
    <w:p>
      <w:r>
        <w:t>AU NOM DE LA COUR DE CASSATION CIVILE</w:t>
      </w:r>
    </w:p>
    <w:p>
      <w:r>
        <w:t>Le greffier          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