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CCC.1998.7527 vom 15. Dezember 1998</w:t>
      </w:r>
    </w:p>
    <w:p>
      <w:r>
        <w:t>NE Tribunal cantonal, 1998-12-15, FR</w:t>
      </w:r>
    </w:p>
    <w:p>
      <w:r>
        <w:rPr>
          <w:b/>
        </w:rPr>
        <w:t xml:space="preserve">Quelle: </w:t>
      </w:r>
      <w:r>
        <w:t>https://mcp.opencaselaw.ch/entscheid/ne_gerichte_CCC.1998.7527</w:t>
      </w:r>
    </w:p>
    <w:p>
      <w:r>
        <w:t>FR: NE_GERICHTE CCC.1998.7527 du 15 décembre 1998</w:t>
      </w:r>
    </w:p>
    <w:p>
      <w:r>
        <w:t>IT: NE_GERICHTE CCC.1998.7527 del 15 dicembre 1998</w:t>
      </w:r>
    </w:p>
    <w:p>
      <w:pPr>
        <w:pStyle w:val="Heading2"/>
      </w:pPr>
      <w:r>
        <w:t>Volltext</w:t>
      </w:r>
    </w:p>
    <w:p>
      <w:r>
        <w:t>1.      Par la décision attaquée, le président du Tribunal civil du</w:t>
      </w:r>
    </w:p>
    <w:p>
      <w:r>
        <w:t>district de Neuchâtel a prononcé la mainlevée définitive partielle de</w:t>
      </w:r>
    </w:p>
    <w:p>
      <w:r>
        <w:t>l'opposition formée par l'intimé au commandement de payer qui lui avait</w:t>
      </w:r>
    </w:p>
    <w:p>
      <w:r>
        <w:t>été notifié le 10 août 1998, à concurrence de 230 francs. Le premier juge</w:t>
      </w:r>
    </w:p>
    <w:p>
      <w:r>
        <w:t>a retenu que faute de reconnaissance de dette du poursuivi, la mainlevée</w:t>
      </w:r>
    </w:p>
    <w:p>
      <w:r>
        <w:t>provisoire ne pouvait être prononcée, mais qu'en revanche, la jurispru-</w:t>
      </w:r>
    </w:p>
    <w:p>
      <w:r>
        <w:t>dence admettait le prononcé de la mainlevée définitive pour le montant</w:t>
      </w:r>
    </w:p>
    <w:p>
      <w:r>
        <w:t>formellement admis par le poursuivi en audience de mainlevée, ce qui était</w:t>
      </w:r>
    </w:p>
    <w:p>
      <w:r>
        <w:t>le cas en l'espèce à hauteur de 230 francs.</w:t>
      </w:r>
    </w:p>
    <w:p>
      <w:r>
        <w:t>2. A.  SA recourt contre cette décision en demandant qu'elle soit</w:t>
      </w:r>
    </w:p>
    <w:p>
      <w:r>
        <w:t>annulée. Elle invoque principalement que les parties étaient liées par un</w:t>
      </w:r>
    </w:p>
    <w:p>
      <w:r>
        <w:t>contrat de bail oral à l'année et conteste les allégations que l'intimé a</w:t>
      </w:r>
    </w:p>
    <w:p>
      <w:r>
        <w:t>tenues à l'audience de mainlevée pour justifier un versement limité à</w:t>
      </w:r>
    </w:p>
    <w:p>
      <w:r>
        <w:t>230 francs.</w:t>
      </w:r>
    </w:p>
    <w:p>
      <w:r>
        <w:t>Le président du tribunal ne formule pas d'observations sur le</w:t>
      </w:r>
    </w:p>
    <w:p>
      <w:r>
        <w:t>recours.</w:t>
      </w:r>
    </w:p>
    <w:p>
      <w:r>
        <w:t>3.      Le recours en cassation doit être motivé (art.416 CPC), c'est-</w:t>
      </w:r>
    </w:p>
    <w:p>
      <w:r>
        <w:t>à-dire qu'il doit indiquer, même sommairement, l'un des motifs de recours</w:t>
      </w:r>
    </w:p>
    <w:p>
      <w:r>
        <w:t>énumérés à l'article 415 CPC (fausse application du droit, arbitraire dans</w:t>
      </w:r>
    </w:p>
    <w:p>
      <w:r>
        <w:t>la constatation des faits ou abus du pouvoir d'appréciation, violation des</w:t>
      </w:r>
    </w:p>
    <w:p>
      <w:r>
        <w:t>règles essentielles de la procédure).</w:t>
      </w:r>
    </w:p>
    <w:p>
      <w:r>
        <w:t>Une référence formelle ou chiffrée n'est pas exigée, il suffit</w:t>
      </w:r>
    </w:p>
    <w:p>
      <w:r>
        <w:t>que le recourant rende suffisamment reconnaissable et non équivoque son</w:t>
      </w:r>
    </w:p>
    <w:p>
      <w:r>
        <w:t>intention d'attaquer la décision en raison d'un ou plusieurs de ces moyens</w:t>
      </w:r>
    </w:p>
    <w:p>
      <w:r>
        <w:t>de recours et qu'il dise en quoi le jugement entrepris tombe sous le coup</w:t>
      </w:r>
    </w:p>
    <w:p>
      <w:r>
        <w:t>de chacun de ces moyens de recours (RJN 7 I 330). En l'espèce, il ressort</w:t>
      </w:r>
    </w:p>
    <w:p>
      <w:r>
        <w:t>du recours qu'est essentiellement visée l'appréciation des faits  par le</w:t>
      </w:r>
    </w:p>
    <w:p>
      <w:r>
        <w:t>premier juge, en tant qu'il n'a pas retenu un contrat de location à</w:t>
      </w:r>
    </w:p>
    <w:p>
      <w:r>
        <w:t>l'année. On peut ainsi admettre que le recours est recevable. Toutefois</w:t>
      </w:r>
    </w:p>
    <w:p>
      <w:r>
        <w:t>même recevable, le recours doit être déclaré mal fondé.</w:t>
      </w:r>
    </w:p>
    <w:p>
      <w:r>
        <w:t>4.      Le recourant confond manifestement la procédure de mainlevée</w:t>
      </w:r>
    </w:p>
    <w:p>
      <w:r>
        <w:t>d'opposition avec la procédure au fond. Le prononcé de mainlevée ne</w:t>
      </w:r>
    </w:p>
    <w:p>
      <w:r>
        <w:t>procure de droits que dans la poursuite où il a été rendu. La mainlevée</w:t>
      </w:r>
    </w:p>
    <w:p>
      <w:r>
        <w:t>d'opposition est accordée au créancier dont la poursuite se fonde sur une</w:t>
      </w:r>
    </w:p>
    <w:p>
      <w:r>
        <w:t>reconnaissance de dette, soit un acte authentique ou sous seing privé par</w:t>
      </w:r>
    </w:p>
    <w:p>
      <w:r>
        <w:t>lequel le poursuivi manifeste sa volonté de payer au poursuivant, sans</w:t>
      </w:r>
    </w:p>
    <w:p>
      <w:r>
        <w:t>réserve, ni condition, une somme d'argent déterminée ou aisément détermi-</w:t>
      </w:r>
    </w:p>
    <w:p>
      <w:r>
        <w:t>nable et échue. Cette reconnaissance de dette peut découler du rappro-</w:t>
      </w:r>
    </w:p>
    <w:p>
      <w:r>
        <w:t>chement de plusieurs pièces pour autant que les éléments nécessaires en</w:t>
      </w:r>
    </w:p>
    <w:p>
      <w:r>
        <w:t>résultent.</w:t>
      </w:r>
    </w:p>
    <w:p>
      <w:r>
        <w:t>Le juge a correctement appliqué l'article 82 LP en l'espèce,</w:t>
      </w:r>
    </w:p>
    <w:p>
      <w:r>
        <w:t>seuls les contrats signés de bail à loyer constituant des reconnaissances</w:t>
      </w:r>
    </w:p>
    <w:p>
      <w:r>
        <w:t>de dette pour le loyer échu (Panchaud/Caprez, La mainlevée d'opposition,</w:t>
      </w:r>
    </w:p>
    <w:p>
      <w:r>
        <w:t>§ 74). Il ne lui appartenait pas d'établir l'existence d'un éventuel</w:t>
      </w:r>
    </w:p>
    <w:p>
      <w:r>
        <w:t>contrat oral, question qui ressortit à la procédure ordinaire. C'est ainsi</w:t>
      </w:r>
    </w:p>
    <w:p>
      <w:r>
        <w:t>à juste titre que le premier juge a rejeté la requête de mainlevée dans la</w:t>
      </w:r>
    </w:p>
    <w:p>
      <w:r>
        <w:t>mesure où elle dépassait le montant formellement admis par le poursuivi en</w:t>
      </w:r>
    </w:p>
    <w:p>
      <w:r>
        <w:t>audience.</w:t>
      </w:r>
    </w:p>
    <w:p>
      <w:r>
        <w:t>5. Manifestement mal fondé, le recours doit être rejeté dans toutes</w:t>
      </w:r>
    </w:p>
    <w:p>
      <w:r>
        <w:t>ses conclusions. Le recourant qui succombe supportera les frais de la</w:t>
      </w:r>
    </w:p>
    <w:p>
      <w:r>
        <w:t>procédure, mais sans dépens à l'intimé qui n'a pas procédé.</w:t>
      </w:r>
    </w:p>
    <w:p>
      <w:r>
        <w:t>Par ces motifs,</w:t>
      </w:r>
    </w:p>
    <w:p>
      <w:r>
        <w:t>LA COUR DE CASSATION CIVILE</w:t>
      </w:r>
    </w:p>
    <w:p>
      <w:r>
        <w:t>1. Déclare le recours mal fondé.</w:t>
      </w:r>
    </w:p>
    <w:p>
      <w:r>
        <w:t>2. Met à la charge du recourant les frais, qu'il a avancés par 170 francs,</w:t>
      </w:r>
    </w:p>
    <w:p>
      <w:r>
        <w:t>sans dépens.</w:t>
      </w:r>
    </w:p>
    <w:p>
      <w:r>
        <w:t>Neuchâtel, le 15 décembre 1998</w:t>
      </w:r>
    </w:p>
    <w:p>
      <w:r>
        <w:t>AU NOM DE LA COUR DE CASSATION CIVILE</w:t>
      </w:r>
    </w:p>
    <w:p>
      <w:r>
        <w:t>Le greffier                         L'un des juges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