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CCC.1997.7312 vom 19. August 1997</w:t>
      </w:r>
    </w:p>
    <w:p>
      <w:r>
        <w:t>NE Tribunal cantonal, 1997-08-19, FR</w:t>
      </w:r>
    </w:p>
    <w:p>
      <w:r>
        <w:rPr>
          <w:b/>
        </w:rPr>
        <w:t xml:space="preserve">Quelle: </w:t>
      </w:r>
      <w:r>
        <w:t>https://mcp.opencaselaw.ch/entscheid/ne_gerichte_CCC.1997.7312</w:t>
      </w:r>
    </w:p>
    <w:p>
      <w:r>
        <w:t>FR: NE_GERICHTE CCC.1997.7312 du 19 août 1997</w:t>
      </w:r>
    </w:p>
    <w:p>
      <w:r>
        <w:t>IT: NE_GERICHTE CCC.1997.7312 del 19 agosto 1997</w:t>
      </w:r>
    </w:p>
    <w:p>
      <w:pPr>
        <w:pStyle w:val="Heading2"/>
      </w:pPr>
      <w:r>
        <w:t>Erwägungen</w:t>
      </w:r>
    </w:p>
    <w:p>
      <w:r>
        <w:rPr>
          <w:b/>
        </w:rPr>
        <w:t>E. 1</w:t>
      </w:r>
    </w:p>
    <w:p>
      <w:r>
        <w:t>Interjeté dans les formes et délai légaux, le recours est recevable. 2.      a) Invoquant l'erreur de droit, le recourant tient pour irrecevable la requête de mesures protectrices de l'union conjugale, en raison d'un prétendu abus de droit que commettrait l'épouse à vouloir solliciter la protection du juge, alors qu'elle vise en réalité à protéger la vie commune qu'elle mène avec son amant, cette liaison étant désignée par le recourant comme cause de la rupture du lien conjugal. La jurisprudence et la doctrine que le recourant veut bien citer pour soutenir ce point de vue sont dépassées. S'appuyant lui aussi sur la doctrine, le Tribunal fédéral a clairement dit le contraire en 1993 déjà : le juge ne peut pas refuser d'ordonner des mesures protectrices de l'union conjugale et renvoyer les parties à une procédure en divorce ou en sépara- tion de corps, pour le motif que les conjoints seraient séparés depuis longtemps et n'envisageraient pas de reprendre la vie commune (ATF 119 II 313). Ce principe n'est pas valable seulement lorsque des mesures sont nécessaires concernant les enfants et alors même que la suspension de la vie commune des conjoints ne serait pas justifiée (ainsi que l'avait jugé antérieurement la Cour de céans, RJN 1989, p.55); il s'applique aussi lorsque les intérêts d'un conjoint sont seuls en cause (ATF précité). Les critiques virulentes que le recourant adresse au juge, qui aurait protégé un adultère de la femme alors que celle-ci savait son union détruite avec son propre mari, tombent ainsi à faux. Le premier juge a correctement appliqué les articles 172 et suivants CCS, d'autant qu'il a prioritaire- ment voulu de la sorte protéger l'intérêt des enfants. Il l'a du reste ex- primé très clairement (cons.3, p.5 et 6 de l'ordonnance attaquée); les enfants des parties ont effectivement intérêt à voir leur situation réglée, autant en ce qui concerne le droit de visite litigieux que le montant des pensions et le moment à partir duquel elles seront dues. La requête de mesures protectrices était ainsi recevable dans son principe. Elle était au demeurant fondée, au vu de la jurisprudence du Tribunal fédéral précitée et de l'intérêt des enfants qu'il s'agit impéra- tivement de préserver (le mari ne conteste pas cela, du reste). b) Dès l'instant où la requête de mesures protectrices est rece- vable, le juge pouvait entrer en matière sur l'octroi avec effet rétroac- tif de contributions d'entretien (art. 173 al. 3 CC). Du même coup, il est inutile de chercher à comprendre ce que veut exactement le recourant, dont la motivation est ambiguë : d'un côté, il semble admettre que la requête soit traitée en mesures provisoires (comme le laisse comprendre le re- cours, en page 6, 4ème ligne). De l'autre, il s'est précisément opposé à cette solution, comme le montre sa détermination à l'audience du 11 avril 1996. Si le recourant voulait simplement s'opposer à ce que des con- tributions d'entretien puissent être accordées avec un effet rétroactif, il lui suffisait de conclure au rejet de la requête dans cette mesure. Peu importe finalement la motivation du recourant : le premier juge a clairement distingué les deux rôles qu'il assumait en l'espèce, et son ordonnance le dit. Comme juge des mesures protectrices, il est compé- tent pour constater si les conditions pour une suspension de la vie commune sont remplies (art.175 et 176 CC) et pour accorder les contribu- tions pécuniaires avec effet rétroactif (art.173 al.3 CC). Puis comme juge des mesures provisoires, il est compétent à partir du 19 mars 1996 (date de l'ouverture de la procédure en divorce) pour constater le droit d'un époux de cesser la vie commune et pour statuer sur les autres conséquences de cette suspension (art.145 al.1 et 2 CC). Cette distinction des rôles est conforme à la jurisprudence (RJN 1994, p.31, avec la référence à l'ATF 115 II 201, JdT 1991 I 537) et à la doctrine (Deschenaux/Tercier/Werro, Le mariage et le divorce, 1995, p.178). Le premier juge devait-il nécessaire- ment être saisi d'une deuxième requête, au lendemain de l'ordonnance de dispense de conciliation (dont la requérante n'était du reste pas destina- taire), pour pouvoir ordonner des mesures provisoires ? Tel n'est certai- nement pas le cas, du moins lorsque - comme en l'espèce - l'une et l'autre requêtes devaient être adressées au même juge (celui du for du domicile des parties) et que, conformément aux règles de la procédure cantonale, elles entraient les deux dans la compétence du président du tribunal de district, qui statue selon la procédure sommaire dans les deux cas. c) Dès l'instant où la compétence du premier juge a été reconnue dans sa qualité de juge des mesures protectrices, comme dit ci-dessus, la rétroactivité de sa décision pour les contributions d'entretien (art.173 al.3 CC) n'est plus discutable. Pour le surplus, le recourant ne développe aucune argumentation spécifique pour s'opposer à l'effet rétroactif des mesures protectrices, et qui serait tirée par exemple d'une situation pa- trimoniale différente avant et après l'ouverture de l'instance en divorce. En conséquence, le premier motif du recourant doit être rejeté. 3.      Le recourant fait grief au premier juge d'avoir retenu un mon- tant de 1'400 francs pour l'épouse pour se loger avec ses trois enfants. Le recourant n'explique pas en quoi serait réalisé l'arbitraire dans la constatation des faits, en sorte que ce grief est irrecevable : les chiffres retenus par le premier juge sont au contraire ceux qui résul- tent du dossier. Le recourant les reprend du reste lui-même ! Le grief d'abus du pouvoir d'appréciation n'est pas davantage étayé, en sorte qu'il est lui aussi irrecevable. Le recourant n'explique pas en quoi la décision serait fondée sur des considérations qui sont étrangères à l'article 145 CC, ce qui serait constitutif d'abus du pouvoir d'appréciation. Il reste à examiner l'erreur de droit qui est également invo- quée, soit en l'espèce une fausse application de l'article 145 CC. Lorsqu'il fixe la contribution d'entretien qu'un parent doit à ses enfants en vertu de mesures protectrices de l'union conjugale ou de mesures provisoires, le juge dispose d'un large pouvoir d'appréciation qui n'est limité que par l'interdiction de l'arbitraire. La Cour de cassation civile n'intervient ainsi que si la réglementation adoptée par le premier juge apparaît manifestement inadaptée aux circonstances. En l'espèce, le premier juge a relevé que la décision prise par l'épouse d'acheter un appartement lui coûtant 2'068 francs par mois était "un mauvais choix"; il n'a du reste pas compté cette charge à concurrence du tout (2'068 francs), mais d'une somme largement inférieure et arrêtée à 1'400 francs. Si ce montant est supérieur au loyer de l'ancien appartement conjugal, il reste certainement raisonnable pour une famille composée d'un adulte et de trois enfants de treize, huit et cinq ans. Comme l'expliquait l'épouse (annexe no 3 à la lettre du 1er mai 1996 de Me Berger au juge), la différence était assumée par son "compagnon" E. . En se référant par ailleurs au marché du logement, à la composition de la famille et aux circonstances de l'espèce en général, le premier juge n'a pas pris en compte des critères sortant de son pouvoir d'appréciation. On peut ajouter que l'acquisition de cet appartement est intervenue dans les semaines qui ont suivi la signature de la convention du 4 novembre 1994, soit à un moment où les deux parties étaient convenues de se séparer et où il n'était pas question "d'une modification unilatérale non autorisée du style de vie", pour reprendre les termes de l'arrêt cité par le recourant (ATF 119 II 314). Le grief n'est dès lors pas fondé et sera écarté. 4.      Le recourant invoque tout à la fois l'erreur de droit, l'abus du pouvoir d'appréciation, l'arbitraire et le déni de justice à l'appui de la manière dont le premier juge a déterminé ses revenus. Des quatre griefs invoqués, seul l'arbitraire (dans la constatation des faits, article 415 al.1 litt.b CPC) est en définitive étayé ("les appréciations du juge sont en contradiction avec les éléments du dossier...") avec une énumération des trois éléments critiqués. Il y a lieu de les examiner ci-après. La Cour ne doit toutefois pas se montrer exagérément rigoureuse dans cet examen. En effet, aussi bien en matière de mesures protectrices que de mesures provisoires, le juge, qui doit statuer rapidement, se contente de preuves sommaires (RJN 1986, p.38), ce qui signifie qu'il n'a pas à se livrer à des investigations approfondies. Le droit fédéral ne pose pas des exigences plus élevées (ATF 118 II 376, JdT 1995 I 35). a) Le recourant conteste le grief d'avoir fait preuve de mauvai- se volonté, mettant en avant le fait qu'il a déposé à la requête du juge plusieurs dossiers contenant les pièces comptables de son atelier de pho- tographie. Il résulte cependant de l'ordonnance entreprise que l'évalua- tion des ressources du recourant à un montant supérieur à celui qui sem- blait ressortir des pièces déposées tient à "plusieurs raisons", et pas seulement à de la mauvaise volonté. L'ordonnance le mentionne clairement et de manière minutieuse (cons.7a, p.8 à 12). Elle énumère ainsi successi- vement la démarche de H.F.  auprès de l'administration fiscale, conduisant à une dispense de tenir une comptabilité au motif que la photographie serait devenue un simple hobby; le dépôt d'attestations médicales le 16 octobre 1996, faisant alors état pour la première fois d'une capacité de travail réduite de moitié depuis le mois d'octobre 1995, soit bien avant l'introduction des procédures et l'audience du 11 avril 1996; le fait d'avoir caché l'existence d'un compte bancaire sur lequel étaient déposés plus de 11'000 francs au moment de l'audience, l'aveu de l'existence de ce compte étant fait à cette audience, mais avec un nouveau mensonge (en prétendant que ce compte aurait été bouclé l'année précédente alors qu'un solde de 3 à 4'000 francs s'y trouvait encore). Toutes ces observations du juge ne sont pas contredites par les pièces du dossier, en sorte que la critique tombe à faux. b) L'administration fiscale a dispensé H.F.  de tenir une comptabilité. Le fait est vrai, mais le juge ne dit pas le contraire. Simplement, il tire de la démarche de H.F.  envers cette administration la conclusion que par ce moyen, le recourant n'a plus tenu de comptabilité à partir du 1er janvier 1995 après avoir exploité durant 17 ans son atelier de photographie. La coïncidence entre la date de la requête à l'administration fiscale (19 mars 1996) et le début des procédures (février et mars 1996) n'est certainement pas fortuite. Le juge pouvait légitimement déduire de cette coïncidence et des autres éléments de son dossier que H.F.  se comportait de manière à ce qu'il devienne particulièrement difficile de déterminer l'ensemble de ses revenus réels. Dès lors sa déduction - selon laquelle il était nécessaire d'apprécier les preuves librement - est juste; elle est fondée sur l'article 158 ch. 4 CC, ce qui est discutable; mais le juge pouvait aboutir au même résultat par référence à la jurisprudence, déjà citée, relative au cadre de la procédu- re sommaire ici applicable. c) Le recourant critique l'appréciation du juge au sujet du compte de la banque X. . La critique tombe à faux, car les explications ont été données a posteriori, dans une lettre du 16 octobre 1996; or le juge prend la peine de relever la chronologie des faits et il en déduit à juste titre la volonté du requis de rendre plus difficile la détermination de ses revenus réels. d) En dehors des exemples expressément énumérés, le recourant tire aussi argument de sa requête d'assistance judiciaire et du recours déposé au Tribunal administratif, dont il résulterait la preuve de revenus inférieurs à 1'200 francs par mois. Ce faisant, le recourant n'explique pas en quoi l'examen du premier juge, fondé sur les éléments comptables, serait erroné. Pire, lui-même avoue ne pas vouloir "entrer ici dans une analyse des comptes de photographe indépendant du recourant, par nature difficile à évaluer exactement" (p.8 du recours). Il est dès lors mal venu de critiquer cet examen de détail auquel le premier juge a justement pris la peine de se livrer. C'est ainsi conformément à la jurisprudence que le premier juge a admis comme possible de retenir un gain supérieur à celui découlant du seul examen des pièces, mais allégué par l'adverse partie au moins par divers indices (ATF 118 II 376 précité; RJN 1982, p.20; 1989, p.83 et 84). En relevant finalement qu'il n'était pas raisonnable d'admettre que le requis ne pouvait rien gagner par son activité de photographe, le premier juge n'a certainement pas retenu un fait dépourvu de toute preuve au dos- sier; il s'en explique de manière suffisante dans son ordonnance (p. 10 en particulier). Cette observation est restée d'actualité encore au moment où il statuait. A preuve le rapport de renseignements généraux établi le 3 avril 1997 et transmis par le juge d'instruction (dossier de la curatelle, pièces 56 et 59). Il résulte de ce rapport que le 30 mars 1997, H.F. expliquait au cpl O.  qu'il avait actuellement gardé quelques clients et travaillait épisodiquement comme photographe, ajoutant "j'oeuvre aussi pour le compte de l'Etat en qualité de photographe pour les monuments et sites, ainsi que pour le service de l'urbanisme". Au vu de ce qui précède, ce troisième grief est mal fondé. 5.      Le recourant fait enfin grief au premier juge d'avoir suspendu de manière pratiquement définitive son droit de visite sur les trois enfants. Il y voit un déni de justice, un abus du pouvoir d'appréciation et une violation des articles 145 CC et 4 Cst. Toutefois, seul le grief d'abus de pouvoir est motivé et serait recevable, les deux autres n'étant en effet pas développés. S'agissant il est vrai d'une matière dans laquel- le l'ordre public est intéressé, la Cour peut se saisir d'office même de moyens non évoqués (RJN 1986, p.84). a) En l'espèce on ne voit pas en quoi il y aurait eu déni de justice : le juge a bel et bien statué, ce qui le met à l'abri de ce grief (RJN 1984 p. 258). b) Pour ce qui concerne la violation de l'art. 145 CC, le juge a mis en balance d'une part le droit d'un parent de conserver des relations personnelles avec ses enfants après la suspension de la vie commune, d'au- tre part l'intérêt desdits enfants à ne pas entreprendre un travail de rétablissement des relations avec leur père (nécessitant la collaboration de thérapeutes expérimentés) avant que l'affaire pénale ne soit jugée. Il a estimé qu'avant cette clarification des faits, qui est une des étapes indispensables dans la perspective de la réhabilitation du père par rap- port à sa place auprès de ses enfants, le droit de visite devait être suspendu. Pour dire cela, il s'est fondé sur le dernier rapport d'experti- se de l'OMP du 30 janvier 1997 ainsi que sur l'avis du curateur des trois enfants (voir sa lettre du 25 mars 1997). Si la décision entreprise se réfère d'une manière peut-être un peu laconique au dossier de l'autorité tutélaire civile (qui contient ces informations), le premier juge confirme dans ses observations sur le recours que c'était bien là l'objectif de sa décision. Cette pesée des intérêts procède d'une saine application de l'art. 145 CC. c) Le grief d'abus du pouvoir d'appréciation, à savoir le fait de se référer à des considérations étrangères à la norme qu'il s'agit d'appliquer, est développé sous deux angles par le recourant ("deux motifs aussi irrelevants l'un que l'autre"). D'une part, le juge se serait fondé sur la présomption de culpabilité de H.F. . En vain, la Cour cherche une semblable motivation dans la décision entreprise. Le fait que le premier juge veuille attendre l'éclaircissement des faits dans la procédure pénale ne signifie pas encore qu'il tienne H.F.  pour coupable. Simplement et en cela, il prenait en compte la conclusion des experts qui écrivent : "Il est certainement dans l'intérêt psycho-affectif des enfants de cette famille que le père puisse trouver une voie de réhabi- litation par rapport à sa place auprès de ses enfants, la clari- fication des faits étant par ailleurs une des étapes indispen- sables dans cette perspective". En s'adressant ensuite au curateur, assistant social de profes- sion, et en l'invitant à dire comment il envisageait pour l'avenir de réinstaurer ces relations, le premier juge prenait à bon escient l'avis d'une autre personne bien formée pour évaluer l'intérêt des enfants. Or, le curateur a également répondu qu'avant d'entreprendre cette démarche de reprise des relations père-enfants "extrêmement délicate à réaliser", il attendait que l'affaire pénale soit conclue. En se rangeant ainsi à l'avis des experts pédopsychiatres et du curateur, le premier juge n'a pas présu- mé de la culpabilité de H.F. , mais il a simplement fait usage du pouvoir d'appréciation qui lui appartient. Estimant nécessaire d'attendre que des conditions plus favorables existent pour prévoir le rétablissement d'un droit de visite, il a en conséquence dû ordonner la suspension provisoire de ce droit de visite. Le second motif irrelevant aux yeux du recourant, sur lequel le juge se serait fondé, est qu'il attendrait que d'autres expertises soient faites dans un avenir incertain. Le grief tombe à faux, puisqu'au contrai- re le premier juge n'attend pas d'autres expertises, mais la fin de la procédure pénale. On peut d'ailleurs se demander si le recourant a vérita- blement pris en compte la deuxième expertise, délivrée par l'OMP le 30 janvier 1997. Son recours se réfère exclusivement à celle du 16 novembre 1995 du Dr G. , alors que le juge a attendu (comme il y avait du reste été invité par le mandataire du recourant lui-même dans une lettre du 11 décembre 1996, cotée pièce 51 au dossier de la curatelle) que cette deuxième expertise soit déposée avant de statuer. Ayant reçu ce rapport et obtenu l'avis du curateur, il a statué. La jurisprudence invoquée par le recourant (ATF 114 II 200, JdT 1991 I 72, cons. 2b) n'est à cet égard d'aucun secours, car elle vise une situation différente, où le juge avait refusé une nouvelle expertise. S'il est évidemment regrettable que les relations personnelles d'un père avec ses enfants doivent être suspendues, le juge n'en a pas moins pris cette décision après s'être entouré des avis certainement nécessaires, mais suffisants en mesures provisoires. Ce faisant, il n'a pas faussement appliqué l'article 145 CC. Le recours doit être écarté. 5.      Mal fondé, le recours doit être rejeté, les frais et les dépens étant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