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CCC.1996.7134 vom 22. August 1996</w:t>
      </w:r>
    </w:p>
    <w:p>
      <w:r>
        <w:t>NE Tribunal cantonal, 1996-08-22, FR</w:t>
      </w:r>
    </w:p>
    <w:p>
      <w:r>
        <w:rPr>
          <w:b/>
        </w:rPr>
        <w:t xml:space="preserve">Quelle: </w:t>
      </w:r>
      <w:r>
        <w:t>https://mcp.opencaselaw.ch/entscheid/ne_gerichte_CCC.1996.7134</w:t>
      </w:r>
    </w:p>
    <w:p>
      <w:r>
        <w:t>FR: NE_GERICHTE CCC.1996.7134 du 22 août 1996</w:t>
      </w:r>
    </w:p>
    <w:p>
      <w:r>
        <w:t>IT: NE_GERICHTE CCC.1996.7134 del 22 agosto 1996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Attribuer à la demanderesse la garde et l'autorité parentale</w:t>
      </w:r>
    </w:p>
    <w:p>
      <w:r>
        <w:t>de Y..</w:t>
      </w:r>
    </w:p>
    <w:p>
      <w:r>
        <w:rPr>
          <w:b/>
        </w:rPr>
        <w:t>E. 3</w:t>
      </w:r>
    </w:p>
    <w:p>
      <w:r>
        <w:t>Ordonner la séparation de biens entre époux.</w:t>
      </w:r>
    </w:p>
    <w:p>
      <w:r>
        <w:rPr>
          <w:b/>
        </w:rPr>
        <w:t>E. 4</w:t>
      </w:r>
    </w:p>
    <w:p>
      <w:r>
        <w:t>Ratifier la convention du 25 mars 1993."</w:t>
      </w:r>
    </w:p>
    <w:p>
      <w:r>
        <w:t>Le 3 juin 1993 également, B. a acquiescé aux conclusions de la</w:t>
      </w:r>
    </w:p>
    <w:p>
      <w:r>
        <w:t>demande.</w:t>
      </w:r>
    </w:p>
    <w:p>
      <w:r>
        <w:t>Lors de l'audience d'instruction du 28 mars 1994, B., ayant</w:t>
      </w:r>
    </w:p>
    <w:p>
      <w:r>
        <w:t>entre-temps consulté un mandataire, a informé le tribunal qu'il remettait</w:t>
      </w:r>
    </w:p>
    <w:p>
      <w:r>
        <w:t>en cause la convention du 25 mars 1993, ainsi que l'acquiescement. Le juge</w:t>
      </w:r>
    </w:p>
    <w:p>
      <w:r>
        <w:t>instructeur lui a alors accordé un délai au 20 avril pour déposer sa</w:t>
      </w:r>
    </w:p>
    <w:p>
      <w:r>
        <w:t>réponse.</w:t>
      </w:r>
    </w:p>
    <w:p>
      <w:r>
        <w:t>C.       Le 2 mai 1994, B. a déposé une réponse et demande</w:t>
      </w:r>
    </w:p>
    <w:p>
      <w:r>
        <w:t>reconventionnelle, en concluant principalement au rejet de la demande dans</w:t>
      </w:r>
    </w:p>
    <w:p>
      <w:r>
        <w:t>toutes ses conclusions, reconventionnellement au prononcé du divorce et à</w:t>
      </w:r>
    </w:p>
    <w:p>
      <w:r>
        <w:t>la liquidation du régime matrimonial.</w:t>
      </w:r>
    </w:p>
    <w:p>
      <w:r>
        <w:t>Le 6 juin 1994, B. née N. a déposé un moyen préjudiciel,</w:t>
      </w:r>
    </w:p>
    <w:p>
      <w:r>
        <w:t>alléguant que la réponse et demande reconventionnelle était irrecevable.</w:t>
      </w:r>
    </w:p>
    <w:p>
      <w:r>
        <w:t>Par décision du 12 août 1994, que le défendeur n'a pas attaquée, le juge</w:t>
      </w:r>
    </w:p>
    <w:p>
      <w:r>
        <w:t>instructeur a admis le moyen, au motif que B. aurait dû, pour révoquer son</w:t>
      </w:r>
    </w:p>
    <w:p>
      <w:r>
        <w:t>acquiescement du 3 juin 1993, agir par la voie de la réforme.</w:t>
      </w:r>
    </w:p>
    <w:p>
      <w:r>
        <w:t>D. Plus d'une année plus tard, soit le 18 octobre 1995, B. a</w:t>
      </w:r>
    </w:p>
    <w:p>
      <w:r>
        <w:t>déposé une requête de mesures provisoires, concluant principalement à la</w:t>
      </w:r>
    </w:p>
    <w:p>
      <w:r>
        <w:t>constatation que la pension due pour l'entretien de son fils était de 800</w:t>
      </w:r>
    </w:p>
    <w:p>
      <w:r>
        <w:t>francs par mois dès mai 1993 et qu'il ne devait aucune pension d'entretien</w:t>
      </w:r>
    </w:p>
    <w:p>
      <w:r>
        <w:t>pour son épouse, subsidiairement une pension de 500 francs par mois, dès</w:t>
      </w:r>
    </w:p>
    <w:p>
      <w:r>
        <w:t>mai 1993. B. a allégué en substance qu'il avait été induit en erreur</w:t>
      </w:r>
    </w:p>
    <w:p>
      <w:r>
        <w:t>lorsqu'il a signé la convention et l'acquiescement. Il a en outre invoqué</w:t>
      </w:r>
    </w:p>
    <w:p>
      <w:r>
        <w:t>que la convention du 25 mars 1993 ne saurait valoir mesures provisoires</w:t>
      </w:r>
    </w:p>
    <w:p>
      <w:r>
        <w:t>puisqu'elle n'a pas été ratifiée par le juge. Si cette convention devait</w:t>
      </w:r>
    </w:p>
    <w:p>
      <w:r>
        <w:t>cependant être considérée comme pouvant se substituer à des mesures</w:t>
      </w:r>
    </w:p>
    <w:p>
      <w:r>
        <w:t>provisoires, sa requête devait alors être traitée comme une demande de</w:t>
      </w:r>
    </w:p>
    <w:p>
      <w:r>
        <w:t>modification desdites mesures provisoires.</w:t>
      </w:r>
    </w:p>
    <w:p>
      <w:r>
        <w:t>Par décision du 12 avril 1996, le juge instructeur du Tribunal</w:t>
      </w:r>
    </w:p>
    <w:p>
      <w:r>
        <w:t>civil du district de La Chaux-de-Fonds a déclaré la requête du 18 octobre</w:t>
      </w:r>
    </w:p>
    <w:p>
      <w:r>
        <w:t>1995 irrecevable, retenant en bref que B. ne pouvait modifier ou révoquer</w:t>
      </w:r>
    </w:p>
    <w:p>
      <w:r>
        <w:t>son acquiescement par le biais d'une requête de mesures provisoires, mais</w:t>
      </w:r>
    </w:p>
    <w:p>
      <w:r>
        <w:t>qu'il aurait dû agir par la voie de la réforme. Le juge a expliqué qu'il</w:t>
      </w:r>
    </w:p>
    <w:p>
      <w:r>
        <w:t>était lié par l'acquiescement et ne pouvait intervenir d'office que dans</w:t>
      </w:r>
    </w:p>
    <w:p>
      <w:r>
        <w:t>les cas où l'ordre public est intéressé, ce qui n'était pas le cas en</w:t>
      </w:r>
    </w:p>
    <w:p>
      <w:r>
        <w:t>l'espèce. Il a ajouté que la convention du 25 mars 1993 liait les parties</w:t>
      </w:r>
    </w:p>
    <w:p>
      <w:r>
        <w:t>même avant sa ratification par le juge et qu'une requête en modification</w:t>
      </w:r>
    </w:p>
    <w:p>
      <w:r>
        <w:t>de mesures provisoires serait dans tous les cas mal fondée puisque le</w:t>
      </w:r>
    </w:p>
    <w:p>
      <w:r>
        <w:t>requérant n'a invoqué ni un changement de circonstances, ni une</w:t>
      </w:r>
    </w:p>
    <w:p>
      <w:r>
        <w:t>méconnaissance des faits par le juge.</w:t>
      </w:r>
    </w:p>
    <w:p>
      <w:r>
        <w:t>E.       B. se pourvoit en cassation contre cette décision. Il allègue</w:t>
      </w:r>
    </w:p>
    <w:p>
      <w:r>
        <w:t>que le premier juge aurait dû appliquer le droit d'office, car, étant</w:t>
      </w:r>
    </w:p>
    <w:p>
      <w:r>
        <w:t>donné que les époux B. vivent toujours dans le cadre de l'union conjugale,</w:t>
      </w:r>
    </w:p>
    <w:p>
      <w:r>
        <w:t>leurs relations pécuniaires intéressent directement l'ordre public.</w:t>
      </w:r>
    </w:p>
    <w:p>
      <w:r>
        <w:t>D'ailleurs, même si ces questions n'intéressent pas l'ordre public, le</w:t>
      </w:r>
    </w:p>
    <w:p>
      <w:r>
        <w:t>premier juge se devait d'examiner, de manière limitée, l'équité de la</w:t>
      </w:r>
    </w:p>
    <w:p>
      <w:r>
        <w:t>convention. Il n'aurait alors pas pu la ratifier, car elle a été rédigée</w:t>
      </w:r>
    </w:p>
    <w:p>
      <w:r>
        <w:t>en totale défaveur du recourant. De plus, les clauses de la convention</w:t>
      </w:r>
    </w:p>
    <w:p>
      <w:r>
        <w:t>concernant la pension alimentaire de l'épouse sont nulles au sens de</w:t>
      </w:r>
    </w:p>
    <w:p>
      <w:r>
        <w:t>l'article 20 CO et entachées de lésion et de dol. Le recourant reproche en</w:t>
      </w:r>
    </w:p>
    <w:p>
      <w:r>
        <w:t>outre au juge instructeur d'avoir abusé de son pouvoir d'appréciation en</w:t>
      </w:r>
    </w:p>
    <w:p>
      <w:r>
        <w:t>assimilant mesures provisoires et acquiescement à une demande au fond.</w:t>
      </w:r>
    </w:p>
    <w:p>
      <w:r>
        <w:t>Dans ses observations du 24 mai 1996, B. née N. conclut au</w:t>
      </w:r>
    </w:p>
    <w:p>
      <w:r>
        <w:t>rejet du recours, sous suite de frais et dépens. Elle explique que les</w:t>
      </w:r>
    </w:p>
    <w:p>
      <w:r>
        <w:t>montants des pensions prévues dans la convention ont été arrêtés et</w:t>
      </w:r>
    </w:p>
    <w:p>
      <w:r>
        <w:t>acceptés sur la base d'un décompte des revenus et des charges du recou-</w:t>
      </w:r>
    </w:p>
    <w:p>
      <w:r>
        <w:t>rant. Par ailleurs, l'intimée souligne que les modalités de la convention</w:t>
      </w:r>
    </w:p>
    <w:p>
      <w:r>
        <w:t>s'appliquent à titre de mesures provisoires en vertu de l'article 11 de la</w:t>
      </w:r>
    </w:p>
    <w:p>
      <w:r>
        <w:t>convention et que l'acquiescement portait également sur la conclusion ten-</w:t>
      </w:r>
    </w:p>
    <w:p>
      <w:r>
        <w:t>dant à ratifier la convention. Elle ajoute que le problème de la pension</w:t>
      </w:r>
    </w:p>
    <w:p>
      <w:r>
        <w:t>de l'épouse dépendait de la seule volonté des parties et ne pouvait éven-</w:t>
      </w:r>
    </w:p>
    <w:p>
      <w:r>
        <w:t>tuellement être revu que par la voie de la réforme. Elle remarque finale-</w:t>
      </w:r>
    </w:p>
    <w:p>
      <w:r>
        <w:t>ment que le recourant n'apporte aucun élément qui justifierait la réduc-</w:t>
      </w:r>
    </w:p>
    <w:p>
      <w:r>
        <w:t>tion de la pension.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  a) Selon le Tribunal fédéral, même avant sa ratification par le</w:t>
      </w:r>
    </w:p>
    <w:p>
      <w:r>
        <w:t>juge, une convention sur les effets accessoires d'un divorce ou d'une</w:t>
      </w:r>
    </w:p>
    <w:p>
      <w:r>
        <w:t>séparation de corps lie les parties et ne peut faire l'objet d'une révo-</w:t>
      </w:r>
    </w:p>
    <w:p>
      <w:r>
        <w:t>cation unilatérale de l'une d'entre elles. Il ne peut tout au plus être</w:t>
      </w:r>
    </w:p>
    <w:p>
      <w:r>
        <w:t>question, avant la ratification, que d'une annulation pour vices de la</w:t>
      </w:r>
    </w:p>
    <w:p>
      <w:r>
        <w:t>volonté (ATF 99 II 359, JT 1974, p.232).</w:t>
      </w:r>
    </w:p>
    <w:p>
      <w:r>
        <w:t>b) En l'espèce, contrairement à ce que soutient le recourant</w:t>
      </w:r>
    </w:p>
    <w:p>
      <w:r>
        <w:t>dans sa requête du 18 octobre 1995, la convention du 25 mars 1993 produit</w:t>
      </w:r>
    </w:p>
    <w:p>
      <w:r>
        <w:t>ses effets même en l'absence de ratification par le juge. La jurisprudence</w:t>
      </w:r>
    </w:p>
    <w:p>
      <w:r>
        <w:t>précitée est claire à ce sujet.</w:t>
      </w:r>
    </w:p>
    <w:p>
      <w:r>
        <w:t>Dans sa requête, le recourant invoque, de manière plus que som-</w:t>
      </w:r>
    </w:p>
    <w:p>
      <w:r>
        <w:t>maire, qu'il a été induit en erreur lors de la signature de la convention.</w:t>
      </w:r>
    </w:p>
    <w:p>
      <w:r>
        <w:t>Il se contente cependant simplement de contester la validité de la conven-</w:t>
      </w:r>
    </w:p>
    <w:p>
      <w:r>
        <w:t>tion, sans motiver et démontrer en quoi consistait son erreur. Ce moyen</w:t>
      </w:r>
    </w:p>
    <w:p>
      <w:r>
        <w:t>est par conséquent irrecevable. Le recourant allègue par ailleurs que la</w:t>
      </w:r>
    </w:p>
    <w:p>
      <w:r>
        <w:t>convention est nulle au sens de l'article 20 CO, et entachée de lésion et</w:t>
      </w:r>
    </w:p>
    <w:p>
      <w:r>
        <w:t>de dol. Ces moyens n'ont cependant été invoqués pour la première fois que</w:t>
      </w:r>
    </w:p>
    <w:p>
      <w:r>
        <w:t>dans le recours. Il s'agit dès lors de moyens nouveaux qui ne sauraient</w:t>
      </w:r>
    </w:p>
    <w:p>
      <w:r>
        <w:t>être pris en considération par l'autorité de céans.</w:t>
      </w:r>
    </w:p>
    <w:p>
      <w:r>
        <w:t>Il ressort de ce qui précède que la convention du 25 mars 1993</w:t>
      </w:r>
    </w:p>
    <w:p>
      <w:r>
        <w:t>lie les parties. L'article 11 de cette convention prévoit expressément que</w:t>
      </w:r>
    </w:p>
    <w:p>
      <w:r>
        <w:t>les modalités convenues s'appliquent à titre de mesures provisoires. Par</w:t>
      </w:r>
    </w:p>
    <w:p>
      <w:r>
        <w:t>conséquent, la requête de mesures provisoires du 18 octobre 1995 doit être</w:t>
      </w:r>
    </w:p>
    <w:p>
      <w:r>
        <w:t>traitée comme une requête en modification de mesures provisoires.</w:t>
      </w:r>
    </w:p>
    <w:p>
      <w:r>
        <w:t>3. Selon la jurisprudence de la Cour civile, des mesures pro-</w:t>
      </w:r>
    </w:p>
    <w:p>
      <w:r>
        <w:t>visoires jouissent d'une force de chose jugée relative. Dans le cadre</w:t>
      </w:r>
    </w:p>
    <w:p>
      <w:r>
        <w:t>d'une requête de modification, le juge peut se limiter à examiner si et</w:t>
      </w:r>
    </w:p>
    <w:p>
      <w:r>
        <w:t>dans quelle mesure des faits nouveaux modifiant de façon sensible et</w:t>
      </w:r>
    </w:p>
    <w:p>
      <w:r>
        <w:t>durable la situation financière des parties se sont produits depuis le</w:t>
      </w:r>
    </w:p>
    <w:p>
      <w:r>
        <w:t>prononcé des mesures en vigueur (RJN 1995, p.39).</w:t>
      </w:r>
    </w:p>
    <w:p>
      <w:r>
        <w:t>En l'espèce, le recourant n'a à aucun moment invoqué que sa</w:t>
      </w:r>
    </w:p>
    <w:p>
      <w:r>
        <w:t>situation financière ou celle de son épouse se serait modifiée depuis la</w:t>
      </w:r>
    </w:p>
    <w:p>
      <w:r>
        <w:t>conclusion de la convention. Le recours est par conséquent mal fondé, dans</w:t>
      </w:r>
    </w:p>
    <w:p>
      <w:r>
        <w:t>la mesure où il est recevable.</w:t>
      </w:r>
    </w:p>
    <w:p>
      <w:r>
        <w:t>4.       Vu le sort du recours, le recourant supportera les frais et</w:t>
      </w:r>
    </w:p>
    <w:p>
      <w:r>
        <w:t>dépens de la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