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NE_GERICHTE CCC.1996.7114 vom 8. Juli 1996</w:t>
      </w:r>
    </w:p>
    <w:p>
      <w:r>
        <w:t>NE Tribunal cantonal, 1996-07-08, FR</w:t>
      </w:r>
    </w:p>
    <w:p>
      <w:r>
        <w:rPr>
          <w:b/>
        </w:rPr>
        <w:t xml:space="preserve">Quelle: </w:t>
      </w:r>
      <w:r>
        <w:t>https://mcp.opencaselaw.ch/entscheid/ne_gerichte_CCC.1996.7114</w:t>
      </w:r>
    </w:p>
    <w:p>
      <w:r>
        <w:t>FR: NE_GERICHTE CCC.1996.7114 du 8 juillet 1996</w:t>
      </w:r>
    </w:p>
    <w:p>
      <w:r>
        <w:t>IT: NE_GERICHTE CCC.1996.7114 del 8 luglio 1996</w:t>
      </w:r>
    </w:p>
    <w:p>
      <w:pPr>
        <w:pStyle w:val="Heading2"/>
      </w:pPr>
      <w:r>
        <w:t>Erwägungen</w:t>
      </w:r>
    </w:p>
    <w:p>
      <w:r>
        <w:rPr>
          <w:b/>
        </w:rPr>
        <w:t>E. 21</w:t>
      </w:r>
    </w:p>
    <w:p>
      <w:r>
        <w:t>décembre 1991 a causé des dégâts importants au véhicule. Le tribunal a</w:t>
      </w:r>
    </w:p>
    <w:p>
      <w:r>
        <w:t>considéré que celui-ci, même parfaitement réparé, s'en trouve dévalué,</w:t>
      </w:r>
    </w:p>
    <w:p>
      <w:r>
        <w:t>puisque le vendeur devra indiquer désormais qu'il a été accidenté, de</w:t>
      </w:r>
    </w:p>
    <w:p>
      <w:r>
        <w:t>sorte que l'intimé ne pourra pas le revendre au prix qu'il aurait pu</w:t>
      </w:r>
    </w:p>
    <w:p>
      <w:r>
        <w:t>escompter avec un véhicule non accidenté. La Cour de céans ne peut que</w:t>
      </w:r>
    </w:p>
    <w:p>
      <w:r>
        <w:t>faire sienne cette argumentation. Le choc subi par la voiture était d'une</w:t>
      </w:r>
    </w:p>
    <w:p>
      <w:r>
        <w:t>certaine importance (D.34). Or, il est notoire qu'un tel accident déprécie</w:t>
      </w:r>
    </w:p>
    <w:p>
      <w:r>
        <w:t>une automobile. C'est le cas même si les dégâts apparents ont été parfai-</w:t>
      </w:r>
    </w:p>
    <w:p>
      <w:r>
        <w:t>tement réparés, puisqu'une collision d'une certaine violence peut avoir</w:t>
      </w:r>
    </w:p>
    <w:p>
      <w:r>
        <w:t>sur les organes mécaniques du véhicule des effets qui ne se révèlent qu'à</w:t>
      </w:r>
    </w:p>
    <w:p>
      <w:r>
        <w:t>la longue. Il s'agit-là d'un défaut qui, s'il ne diminue peut-être pas</w:t>
      </w:r>
    </w:p>
    <w:p>
      <w:r>
        <w:t>l'utilité de la chose, en restreint en revanche la valeur dans une notable</w:t>
      </w:r>
    </w:p>
    <w:p>
      <w:r>
        <w:t>mesure (ATF 84 II 163).</w:t>
      </w:r>
    </w:p>
    <w:p>
      <w:r>
        <w:t>4. Ainsi, que l'on se place sur le terrain de l'erreur essentielle</w:t>
      </w:r>
    </w:p>
    <w:p>
      <w:r>
        <w:t>ou sur celui des défauts de la chose vendue, l'intimé était en droit, dans</w:t>
      </w:r>
    </w:p>
    <w:p>
      <w:r>
        <w:t>les deux cas, de résoudre le contrat. Il s'ensuit que le recours, mal</w:t>
      </w:r>
    </w:p>
    <w:p>
      <w:r>
        <w:t>fondé, doit être rejeté, frais et dépens à la charge de la recourante.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