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CCC.1995.6866 vom 6. Juli 1995</w:t>
      </w:r>
    </w:p>
    <w:p>
      <w:r>
        <w:t>NE Tribunal cantonal, 1995-07-06, FR</w:t>
      </w:r>
    </w:p>
    <w:p>
      <w:r>
        <w:rPr>
          <w:b/>
        </w:rPr>
        <w:t xml:space="preserve">Quelle: </w:t>
      </w:r>
      <w:r>
        <w:t>https://mcp.opencaselaw.ch/entscheid/ne_gerichte_CCC.1995.6866</w:t>
      </w:r>
    </w:p>
    <w:p>
      <w:r>
        <w:t>FR: NE_GERICHTE CCC.1995.6866 du 6 juillet 1995</w:t>
      </w:r>
    </w:p>
    <w:p>
      <w:r>
        <w:t>IT: NE_GERICHTE CCC.1995.6866 del 6 luglio 1995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juin 1989 dans le cadre d'une procédure pénale dirigée à l'en-</w:t>
      </w:r>
    </w:p>
    <w:p>
      <w:r>
        <w:t>contre de K.. A cet égard, dans ses observations adressées</w:t>
      </w:r>
    </w:p>
    <w:p>
      <w:r>
        <w:t>le 15 février 1993 au président du tribunal de district, le mandataire des</w:t>
      </w:r>
    </w:p>
    <w:p>
      <w:r>
        <w:t>intimés a admis avoir, comme  notaire, instrumenté en la forme</w:t>
      </w:r>
    </w:p>
    <w:p>
      <w:r>
        <w:t>authentique le 15 septembre 1988 les modifications requises par feue</w:t>
      </w:r>
    </w:p>
    <w:p>
      <w:r>
        <w:t>A.H. sur un acte à cause de mort qu'elle avait confectionné auparavant.</w:t>
      </w:r>
    </w:p>
    <w:p>
      <w:r>
        <w:t>Les modifications avaient en fait spécialement trait à la personnalité des</w:t>
      </w:r>
    </w:p>
    <w:p>
      <w:r>
        <w:t>exécuteurs testamentaires. Il s'agit néanmoins d'un événement que le</w:t>
      </w:r>
    </w:p>
    <w:p>
      <w:r>
        <w:t>premier juge aurait effectivement dû relever dans la mesure où la capacité</w:t>
      </w:r>
    </w:p>
    <w:p>
      <w:r>
        <w:t>de disposer présuppose celle de discernement. Toutefois, cette omission ne</w:t>
      </w:r>
    </w:p>
    <w:p>
      <w:r>
        <w:t>saurait emporter cassation du jugement attaqué, car même s'il avait pris</w:t>
      </w:r>
    </w:p>
    <w:p>
      <w:r>
        <w:t>en considération ledit événement, le premier juge n'aurait pas commis</w:t>
      </w:r>
    </w:p>
    <w:p>
      <w:r>
        <w:t>d'arbitraire en retenant que A.H. n'avait plus la capacité de saisir</w:t>
      </w:r>
    </w:p>
    <w:p>
      <w:r>
        <w:t>la portée de ses actes. En effet, le juge n'est pas lié par les</w:t>
      </w:r>
    </w:p>
    <w:p>
      <w:r>
        <w:t>déclarations des témoins instrumentaires qui certifient, conformément aux</w:t>
      </w:r>
    </w:p>
    <w:p>
      <w:r>
        <w:t>articles 501 et 502 CC, que le testateur leur a paru capable de disposer</w:t>
      </w:r>
    </w:p>
    <w:p>
      <w:r>
        <w:t>(ATF 117 II 234 cons.2b). Dans ce sens, le Tribunal fédéral a déjà eu</w:t>
      </w:r>
    </w:p>
    <w:p>
      <w:r>
        <w:t>l'occasion de juger, sous l'empire de la loi fédérale sur la capacité</w:t>
      </w:r>
    </w:p>
    <w:p>
      <w:r>
        <w:t>civile du 22 juin 1881, qu'il était inadmissible (comme l'avait fait</w:t>
      </w:r>
    </w:p>
    <w:p>
      <w:r>
        <w:t>l'autorité cantonale) d'attacher une importance décisive aux déclarations</w:t>
      </w:r>
    </w:p>
    <w:p>
      <w:r>
        <w:t>de l'officier public et des témoins d'un testament pour décider de la ca-</w:t>
      </w:r>
    </w:p>
    <w:p>
      <w:r>
        <w:t>pacité du disposant (ATF 39 II 199/200 cons.5). Or pour fonder son juge-</w:t>
      </w:r>
    </w:p>
    <w:p>
      <w:r>
        <w:t>ment, le premier juge s'est basé sur plusieurs témoignages et principale-</w:t>
      </w:r>
    </w:p>
    <w:p>
      <w:r>
        <w:t>ment sur les constatations médicales du Dr M., lequel a clairement</w:t>
      </w:r>
    </w:p>
    <w:p>
      <w:r>
        <w:t>déclaré que les troubles mnésiques dont souffrait feue A.H. étaient</w:t>
      </w:r>
    </w:p>
    <w:p>
      <w:r>
        <w:t>susceptibles d'altérer sa capacité de discernement et de jugement en été</w:t>
      </w:r>
    </w:p>
    <w:p>
      <w:r>
        <w:t>1988 déjà. Ainsi il n'est pas arbitraire de donner la préférence aux dires</w:t>
      </w:r>
    </w:p>
    <w:p>
      <w:r>
        <w:t>d'un médecin qui connaît bien l'intéressée, dans la mesure où il était son</w:t>
      </w:r>
    </w:p>
    <w:p>
      <w:r>
        <w:t>médecin traitant depuis février 1980, plutôt qu'à l'appréciation immédiate</w:t>
      </w:r>
    </w:p>
    <w:p>
      <w:r>
        <w:t>de simples témoins testamentaires, d'autant plus que la vérification de la</w:t>
      </w:r>
    </w:p>
    <w:p>
      <w:r>
        <w:t>capacité du disposant est moins exigeante lorsque, comme en l'espèce, les</w:t>
      </w:r>
    </w:p>
    <w:p>
      <w:r>
        <w:t>dispositions pour cause de mort n'ont trait qu'à des modalités d'exécution</w:t>
      </w:r>
    </w:p>
    <w:p>
      <w:r>
        <w:t>et ne touchent nullement l'attribution de la succession en tant que telle.</w:t>
      </w:r>
    </w:p>
    <w:p>
      <w:r>
        <w:t>Quant aux autres témoignages, il est erroné de prétendre que le</w:t>
      </w:r>
    </w:p>
    <w:p>
      <w:r>
        <w:t>premier juge les a interprétés faussement. Plus précisément, ceux de</w:t>
      </w:r>
    </w:p>
    <w:p>
      <w:r>
        <w:t>L. et de Me Y. contiennent des propos, contrairement à ce</w:t>
      </w:r>
    </w:p>
    <w:p>
      <w:r>
        <w:t>qu'allègue la recourante, dont l'interprétation générale va dans le sens</w:t>
      </w:r>
    </w:p>
    <w:p>
      <w:r>
        <w:t>des conclusions médicales, lesquelles ne sont en tout cas pas remises en</w:t>
      </w:r>
    </w:p>
    <w:p>
      <w:r>
        <w:t>cause. En effet, s'ils n'ont pu conclure avec précision à l'incapacité</w:t>
      </w:r>
    </w:p>
    <w:p>
      <w:r>
        <w:t>mentale de feue A.H. en 1988, le premier nommé n'en a pas moins</w:t>
      </w:r>
    </w:p>
    <w:p>
      <w:r>
        <w:t>déclaré que la santé de celle-ci déclinait en mai 1988 et qu'elle n'avait</w:t>
      </w:r>
    </w:p>
    <w:p>
      <w:r>
        <w:t>plus toute sa capacité de mémoire, alors que le second a admis s'être</w:t>
      </w:r>
    </w:p>
    <w:p>
      <w:r>
        <w:t>interrogé sur sa capacité de discernement en automne 1988. L'autre omis-</w:t>
      </w:r>
    </w:p>
    <w:p>
      <w:r>
        <w:t>sion reprochée du premier juge, soit celle de n'avoir pas pris en</w:t>
      </w:r>
    </w:p>
    <w:p>
      <w:r>
        <w:t>considération le procès-verbal d'audition de A.H. établi dans le</w:t>
      </w:r>
    </w:p>
    <w:p>
      <w:r>
        <w:t>cadre d'une procédure pénale intentée contre K., n'est pas</w:t>
      </w:r>
    </w:p>
    <w:p>
      <w:r>
        <w:t>davantage relevante, dans la mesure où les propos retranscrits n'apportent</w:t>
      </w:r>
    </w:p>
    <w:p>
      <w:r>
        <w:t>aucun élément propre à déterminer l'état mental de l'intéressée.</w:t>
      </w:r>
    </w:p>
    <w:p>
      <w:r>
        <w:t>Enfin, l'argument de la recourante tiré de l'interprétation des</w:t>
      </w:r>
    </w:p>
    <w:p>
      <w:r>
        <w:t>décisions prises par l'autorité tutélaire n'est pas convaincant. En effet,</w:t>
      </w:r>
    </w:p>
    <w:p>
      <w:r>
        <w:t>la curatelle a été instituée le 8 novembre 1988 sur requête de Me X., avocat et notaire agissant pour le compte de L. et G. (exécuteurs testamentaires de feu W.H.), avec un certificat médical du Dr M. à l'appui, et l'interdiction a été prononcée le 22 décembre 1989 sur requête de Me Y., alors curateur, avec un</w:t>
      </w:r>
    </w:p>
    <w:p>
      <w:r>
        <w:t>autre certificat médical du Dr M. annexé. Le fait que A.H. ait donné son consentement à ces mesures et que l'on doit ainsi les</w:t>
      </w:r>
    </w:p>
    <w:p>
      <w:r>
        <w:t>qualifier de "volontaires" ne permet pas pour autant de déduire qu'elle</w:t>
      </w:r>
    </w:p>
    <w:p>
      <w:r>
        <w:t>disposait de toute sa capacité de discernement à ce moment. Bien au</w:t>
      </w:r>
    </w:p>
    <w:p>
      <w:r>
        <w:t>contraire, l'institution de telles mesures démontre qu'elle ne disposait</w:t>
      </w:r>
    </w:p>
    <w:p>
      <w:r>
        <w:t>plus de toutes ses facultés pour mener à bien la gestion de ses affaires,</w:t>
      </w:r>
    </w:p>
    <w:p>
      <w:r>
        <w:t>la valeur juridique dudit consentement n'étant pas la question traitée en</w:t>
      </w:r>
    </w:p>
    <w:p>
      <w:r>
        <w:t>l'espèce.</w:t>
      </w:r>
    </w:p>
    <w:p>
      <w:r>
        <w:t>Par conséquent à la lecture du dossier dont les constatations</w:t>
      </w:r>
    </w:p>
    <w:p>
      <w:r>
        <w:t>médicales - qui ne sont pas contredites par l'ensemble des témoignages -</w:t>
      </w:r>
    </w:p>
    <w:p>
      <w:r>
        <w:t>constituent l'élément prépondérant, il n'est pas arbitraire de considérer</w:t>
      </w:r>
    </w:p>
    <w:p>
      <w:r>
        <w:t>qu'au mois de juin 1988 feue A.H. n'avait plus la capacité de saisir</w:t>
      </w:r>
    </w:p>
    <w:p>
      <w:r>
        <w:t>la portée de ses actes.</w:t>
      </w:r>
    </w:p>
    <w:p>
      <w:r>
        <w:t>4. Compte tenu de ces faits, le premier juge a considéré que A.H. n'avait pas la capacité de discernement, au sens de l'article 16 CC,</w:t>
      </w:r>
    </w:p>
    <w:p>
      <w:r>
        <w:t>lorsqu'elle a signé le contrat de vente et la lettre de change en 1988. Au</w:t>
      </w:r>
    </w:p>
    <w:p>
      <w:r>
        <w:t>vu du dossier, l'Autorité de céans ne peut qu'approuver cette appréciation</w:t>
      </w:r>
    </w:p>
    <w:p>
      <w:r>
        <w:t>juridique. En effet, l'état mental dans lequel A.H. a été considérée</w:t>
      </w:r>
    </w:p>
    <w:p>
      <w:r>
        <w:t>correspond à la définition légale de l'incapacité de discernement si l'on</w:t>
      </w:r>
    </w:p>
    <w:p>
      <w:r>
        <w:t>interprète a contrario l'article précité, lequel dispose que "toute per-</w:t>
      </w:r>
    </w:p>
    <w:p>
      <w:r>
        <w:t>sonne qui n'est pas dépourvue de sa faculté d'agir raisonnablement à cause</w:t>
      </w:r>
    </w:p>
    <w:p>
      <w:r>
        <w:t>de son jeune âge ou qui n'en est pas privée par suite de maladie mentale,</w:t>
      </w:r>
    </w:p>
    <w:p>
      <w:r>
        <w:t>de faiblesse d'esprit, d'ivresse ou d'autres causes semblables, est ca-</w:t>
      </w:r>
    </w:p>
    <w:p>
      <w:r>
        <w:t>pable de discernement dans le sens de la présente loi". Empruntées à la</w:t>
      </w:r>
    </w:p>
    <w:p>
      <w:r>
        <w:t>psychiatrie, les notions de maladie mentale et de faiblesse d'esprit fi-</w:t>
      </w:r>
    </w:p>
    <w:p>
      <w:r>
        <w:t>gurent également à l'article 369 CC au titre des causes d'interdiction</w:t>
      </w:r>
    </w:p>
    <w:p>
      <w:r>
        <w:t>ainsi qu'à l'article 397a CC au titre des causes de privation de liberté à</w:t>
      </w:r>
    </w:p>
    <w:p>
      <w:r>
        <w:t>des fins d'assistance. Dans le cadre de l'interprétation de l'article 369</w:t>
      </w:r>
    </w:p>
    <w:p>
      <w:r>
        <w:t>CC, le Tribunal fédéral a déclaré qu'il fallait entendre par là "tout état</w:t>
      </w:r>
    </w:p>
    <w:p>
      <w:r>
        <w:t>mental anormal et durable" (ATF 85 II 457, 62 II 263; RDT 1977, p.25,</w:t>
      </w:r>
    </w:p>
    <w:p>
      <w:r>
        <w:t>1978, p.60). En l'occurrence, les troubles mentaux dont souffrait déjà</w:t>
      </w:r>
    </w:p>
    <w:p>
      <w:r>
        <w:t>A.H. en juin 1988 étaient manifestement la conséquence d'un état</w:t>
      </w:r>
    </w:p>
    <w:p>
      <w:r>
        <w:t>mental anormal et durable, propice même - comme le démontre le dossier - à</w:t>
      </w:r>
    </w:p>
    <w:p>
      <w:r>
        <w:t>une aggravation croissante au vu de l'âge de l'intéressée.</w:t>
      </w:r>
    </w:p>
    <w:p>
      <w:r>
        <w:t>Autrement dit, la capacité de A.H. d'apprécier le sens,</w:t>
      </w:r>
    </w:p>
    <w:p>
      <w:r>
        <w:t>l'opportunité et les effets de ses actes et sa faculté d'agir selon sa</w:t>
      </w:r>
    </w:p>
    <w:p>
      <w:r>
        <w:t>libre volonté en fonction de cette compréhension raisonnable étaient di-</w:t>
      </w:r>
    </w:p>
    <w:p>
      <w:r>
        <w:t>rectement atteintes, si l'on prend en considération le secteur d'activité</w:t>
      </w:r>
    </w:p>
    <w:p>
      <w:r>
        <w:t>considéré (ATF 88 IV 114), soit la conclusion d'un contrat de vente</w:t>
      </w:r>
    </w:p>
    <w:p>
      <w:r>
        <w:t>portant sur un montant de plusieurs milliers de francs et la souscription</w:t>
      </w:r>
    </w:p>
    <w:p>
      <w:r>
        <w:t>d'un engagement cambiaire, lequel requiert du tiré - même pleinement</w:t>
      </w:r>
    </w:p>
    <w:p>
      <w:r>
        <w:t>capable de discernement - certaines notions de droit commercial, notamment</w:t>
      </w:r>
    </w:p>
    <w:p>
      <w:r>
        <w:t>eu égard aux conséquences plus graves encourues par le débiteur dans le</w:t>
      </w:r>
    </w:p>
    <w:p>
      <w:r>
        <w:t>cadre de la procédure de recouvrement du montant souscrit. Or, il est</w:t>
      </w:r>
    </w:p>
    <w:p>
      <w:r>
        <w:t>manifeste que A.H. n'était pas à même de saisir la véritable portée</w:t>
      </w:r>
    </w:p>
    <w:p>
      <w:r>
        <w:t>de tels actes. Cet avis est d'ailleurs soutenu par son ancien tuteur Me</w:t>
      </w:r>
    </w:p>
    <w:p>
      <w:r>
        <w:t>Y., lequel a déclaré que sa pupille ne devait pas savoir ce qu'était</w:t>
      </w:r>
    </w:p>
    <w:p>
      <w:r>
        <w:t>un effet de change (PV d'audition du 2.12.1993). En outre, A.H.</w:t>
      </w:r>
    </w:p>
    <w:p>
      <w:r>
        <w:t>était, à l'époque de l'achat de la voiture, fortement sous l'influence de</w:t>
      </w:r>
    </w:p>
    <w:p>
      <w:r>
        <w:t>sa gouvernante, K., qui a contresigné le contrat, a fait</w:t>
      </w:r>
    </w:p>
    <w:p>
      <w:r>
        <w:t>immatriculer la voiture à son nom et en a disposé finalement. Selon le</w:t>
      </w:r>
    </w:p>
    <w:p>
      <w:r>
        <w:t>Dr M. sa patiente était très influençable et selon toute</w:t>
      </w:r>
    </w:p>
    <w:p>
      <w:r>
        <w:t>vraisemblance c'est la gouvernante, dépeinte comme une personne</w:t>
      </w:r>
    </w:p>
    <w:p>
      <w:r>
        <w:t>envahissante, écartant famille  et médecins sans grand scrupule et prenant</w:t>
      </w:r>
    </w:p>
    <w:p>
      <w:r>
        <w:t>des initiatives discutables - qui a pris l'initiative de l'achat de la</w:t>
      </w:r>
    </w:p>
    <w:p>
      <w:r>
        <w:t>voiture dans son intérêt personnel. Ainsi, si A.H. pouvait  se rendre</w:t>
      </w:r>
    </w:p>
    <w:p>
      <w:r>
        <w:t>compte à la rigueur de la portée de ses actes, elle n'avait très</w:t>
      </w:r>
    </w:p>
    <w:p>
      <w:r>
        <w:t>vraisemblablement plus la faculté de résister de façon normale à sa</w:t>
      </w:r>
    </w:p>
    <w:p>
      <w:r>
        <w:t>gouvernante qui influençait sa volonté.</w:t>
      </w:r>
    </w:p>
    <w:p>
      <w:r>
        <w:t>Il y a lieu dès lors d'admettre que les intimés ont renversé,</w:t>
      </w:r>
    </w:p>
    <w:p>
      <w:r>
        <w:t>avec une très grande vraisemblance excluant tout doute sérieux, la</w:t>
      </w:r>
    </w:p>
    <w:p>
      <w:r>
        <w:t>présomption légale de discernement et que le contrat de vente et la lettre</w:t>
      </w:r>
    </w:p>
    <w:p>
      <w:r>
        <w:t>de change signés en juin 1988 par A.H. ne déploient aucun effet</w:t>
      </w:r>
    </w:p>
    <w:p>
      <w:r>
        <w:t>juridique. C'est donc à tort que la recourante reproche au premier juge</w:t>
      </w:r>
    </w:p>
    <w:p>
      <w:r>
        <w:t>d'avoir faussement appliqué le droit matériel.</w:t>
      </w:r>
    </w:p>
    <w:p>
      <w:r>
        <w:t>Il n'est pas fait recours contre le considérant du jugement re-</w:t>
      </w:r>
    </w:p>
    <w:p>
      <w:r>
        <w:t>latif au refus d'entrer en matière sur une éventuelle indemnité au sens de</w:t>
      </w:r>
    </w:p>
    <w:p>
      <w:r>
        <w:t>l'article 54 CO (responsabilité des personnes incapables de discernement),</w:t>
      </w:r>
    </w:p>
    <w:p>
      <w:r>
        <w:t>de sorte que cette question n'a pas à être traitée dans le cadre de la</w:t>
      </w:r>
    </w:p>
    <w:p>
      <w:r>
        <w:t>présente procédure.</w:t>
      </w:r>
    </w:p>
    <w:p>
      <w:r>
        <w:t>4. Dénué de fondement, le recours doit être rejeté sous suite de</w:t>
      </w:r>
    </w:p>
    <w:p>
      <w:r>
        <w:t>frais et dépens (art.152 al.1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