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CC.1995.580 vom 19. September 1996</w:t>
      </w:r>
    </w:p>
    <w:p>
      <w:r>
        <w:t>NE Tribunal cantonal, 1996-09-19, FR</w:t>
      </w:r>
    </w:p>
    <w:p>
      <w:r>
        <w:rPr>
          <w:b/>
        </w:rPr>
        <w:t xml:space="preserve">Quelle: </w:t>
      </w:r>
      <w:r>
        <w:t>https://mcp.opencaselaw.ch/entscheid/ne_gerichte_CC.1995.580</w:t>
      </w:r>
    </w:p>
    <w:p>
      <w:r>
        <w:t>FR: NE_GERICHTE CC.1995.580 du 19 septembre 1996</w:t>
      </w:r>
    </w:p>
    <w:p>
      <w:r>
        <w:t>IT: NE_GERICHTE CC.1995.580 del 19 settembre 1996</w:t>
      </w:r>
    </w:p>
    <w:p>
      <w:pPr>
        <w:pStyle w:val="Heading2"/>
      </w:pPr>
      <w:r>
        <w:t>Volltext</w:t>
      </w:r>
    </w:p>
    <w:p>
      <w:r>
        <w:t>A.      Le 28 février 1996, D. et G. ont</w:t>
      </w:r>
    </w:p>
    <w:p>
      <w:r>
        <w:t>ouvert action contre B. prenant les conclusions suivantes :</w:t>
      </w:r>
    </w:p>
    <w:p>
      <w:r>
        <w:t>"I)</w:t>
      </w:r>
    </w:p>
    <w:p>
      <w:r>
        <w:t>1. Condamner le défendeur à payer Fr. 16'000.- avec intérêts à</w:t>
      </w:r>
    </w:p>
    <w:p>
      <w:r>
        <w:t>5 % dès le 30.10.94 à D.</w:t>
      </w:r>
    </w:p>
    <w:p>
      <w:r>
        <w:t>2. Prononcer la mainlevée définitive de l'opposition faite par</w:t>
      </w:r>
    </w:p>
    <w:p>
      <w:r>
        <w:t>B. à la poursuite No 1 de l'Office des</w:t>
      </w:r>
    </w:p>
    <w:p>
      <w:r>
        <w:t>poursuites de La Chaux-de-Fonds notifiée le 15 janvier 1996.</w:t>
      </w:r>
    </w:p>
    <w:p>
      <w:r>
        <w:t>II)</w:t>
      </w:r>
    </w:p>
    <w:p>
      <w:r>
        <w:t>3. Condamner le défendeur à payer Fr. 14'000.- avec intérêts à</w:t>
      </w:r>
    </w:p>
    <w:p>
      <w:r>
        <w:t>5 % dès le 30.10.94 à G..</w:t>
      </w:r>
    </w:p>
    <w:p>
      <w:r>
        <w:t>4. Prononcer, à concurrence de Fr. 14'000.- et intérêts, la</w:t>
      </w:r>
    </w:p>
    <w:p>
      <w:r>
        <w:t>mainlevée définitive de l'opposition faite par B.</w:t>
      </w:r>
    </w:p>
    <w:p>
      <w:r>
        <w:t>à la poursuite No 2 de l'Office des poursuites</w:t>
      </w:r>
    </w:p>
    <w:p>
      <w:r>
        <w:t>de La Chaux-de-Fonds notifiée le 15 janvier 1996.</w:t>
      </w:r>
    </w:p>
    <w:p>
      <w:r>
        <w:t>III)</w:t>
      </w:r>
    </w:p>
    <w:p>
      <w:r>
        <w:t>5. Condamner B. à supporter tous les frais,</w:t>
      </w:r>
    </w:p>
    <w:p>
      <w:r>
        <w:t>ainsi que les dépens et honoraires du mandataire de</w:t>
      </w:r>
    </w:p>
    <w:p>
      <w:r>
        <w:t>D. et de G.".</w:t>
      </w:r>
    </w:p>
    <w:p>
      <w:r>
        <w:t>En bref, les demandeurs font valoir que le 27 janvier 1994</w:t>
      </w:r>
    </w:p>
    <w:p>
      <w:r>
        <w:t>B. a obtenu un prêt de 30'000 francs de la Banque Z.</w:t>
      </w:r>
    </w:p>
    <w:p>
      <w:r>
        <w:t>à La Chaux-de-Fonds et qu'ils ont été d'accord de garantir ce prêt, la</w:t>
      </w:r>
    </w:p>
    <w:p>
      <w:r>
        <w:t>demanderesse par la mise en nantissement d'un carnet d'épargne d'une va-</w:t>
      </w:r>
    </w:p>
    <w:p>
      <w:r>
        <w:t>leur de 16'000 francs et le demandeur par la mise en nantissement de deux</w:t>
      </w:r>
    </w:p>
    <w:p>
      <w:r>
        <w:t>polices d'assurance d'une valeur de 15'218 francs et de 6'240 francs.</w:t>
      </w:r>
    </w:p>
    <w:p>
      <w:r>
        <w:t>B. n'a pas tenu l'engagement pris de rembourser le prêt à fin</w:t>
      </w:r>
    </w:p>
    <w:p>
      <w:r>
        <w:t>mai 1994, puis à fin décembre 1994, de sorte que la Banque Z. l'a</w:t>
      </w:r>
    </w:p>
    <w:p>
      <w:r>
        <w:t>dénoncé au remboursement et a fait valoir son droit de gage, percevant le</w:t>
      </w:r>
    </w:p>
    <w:p>
      <w:r>
        <w:t>montant du carnet d'épargne et 14'000 francs sur les garanties fournies</w:t>
      </w:r>
    </w:p>
    <w:p>
      <w:r>
        <w:t>par le demandeur. Les demandeurs font également valoir qu'ils ont fait</w:t>
      </w:r>
    </w:p>
    <w:p>
      <w:r>
        <w:t>notifier chacun un commandement de payer à B., qui a fait</w:t>
      </w:r>
    </w:p>
    <w:p>
      <w:r>
        <w:t>opposition totale, et que la faillite de ce dernier, qui avait été pronon-</w:t>
      </w:r>
    </w:p>
    <w:p>
      <w:r>
        <w:t>cée le 21 août 1995, a été clôturée faute d'actifs le 19 septembre 1995.</w:t>
      </w:r>
    </w:p>
    <w:p>
      <w:r>
        <w:t>Ils ajoutent que B. a fait opposition totale aux commande-</w:t>
      </w:r>
    </w:p>
    <w:p>
      <w:r>
        <w:t>ments de payer qu'ils lui ont fait notifier à nouveau le 15 janvier 1996,</w:t>
      </w:r>
    </w:p>
    <w:p>
      <w:r>
        <w:t>précisant n'être pas revenu à meilleure fortune. Ils exposent que le dé-</w:t>
      </w:r>
    </w:p>
    <w:p>
      <w:r>
        <w:t>fendeur savait à l'avance qu'il ne serait pas en mesure de rembourser le</w:t>
      </w:r>
    </w:p>
    <w:p>
      <w:r>
        <w:t>prêt et que les garanties devraient être réalisées et lui reprochent de</w:t>
      </w:r>
    </w:p>
    <w:p>
      <w:r>
        <w:t>faire preuve de mauvaise foi lorsqu'il fait opposition totale aux comman-</w:t>
      </w:r>
    </w:p>
    <w:p>
      <w:r>
        <w:t>dements de payer.</w:t>
      </w:r>
    </w:p>
    <w:p>
      <w:r>
        <w:t>B.      Le 6 juin 1996, le défendeur a soulevé un moyen préjudiciel con-</w:t>
      </w:r>
    </w:p>
    <w:p>
      <w:r>
        <w:t>cluant à l'incompétence du Tribunal cantonal sous suite de frais et dé-</w:t>
      </w:r>
    </w:p>
    <w:p>
      <w:r>
        <w:t>pens. En bref, il fait valoir que les valeurs litigieuses ne peuvent s'ad-</w:t>
      </w:r>
    </w:p>
    <w:p>
      <w:r>
        <w:t>ditionner, que les deux conclusions doivent être considérées séparément et</w:t>
      </w:r>
    </w:p>
    <w:p>
      <w:r>
        <w:t>que, vu leur montant respectif, la compétence du Tribunal cantonal, qui</w:t>
      </w:r>
    </w:p>
    <w:p>
      <w:r>
        <w:t>connaît des causes dont la valeur litigieuse est supérieure à 20'000</w:t>
      </w:r>
    </w:p>
    <w:p>
      <w:r>
        <w:t>francs, est exclue.</w:t>
      </w:r>
    </w:p>
    <w:p>
      <w:r>
        <w:t>Les demandeurs ont conclu au rejet du moyen préjudiciel sous</w:t>
      </w:r>
    </w:p>
    <w:p>
      <w:r>
        <w:t>suite de frais et dépens, faisant en bref valoir qu'au contraire, les deux</w:t>
      </w:r>
    </w:p>
    <w:p>
      <w:r>
        <w:t>conclusions doivent s'additionner.</w:t>
      </w:r>
    </w:p>
    <w:p>
      <w:r>
        <w:t>C O N S I D E R A N T</w:t>
      </w:r>
    </w:p>
    <w:p>
      <w:r>
        <w:t>1.      Aux termes de l'article 9 OJN, les Cours civiles du Tribunal</w:t>
      </w:r>
    </w:p>
    <w:p>
      <w:r>
        <w:t>cantonal se prononcent sur toutes les affaires mobilières et immobilières</w:t>
      </w:r>
    </w:p>
    <w:p>
      <w:r>
        <w:t>dont la valeur, susceptible d'être appréciée en argent, dépasse 20'000</w:t>
      </w:r>
    </w:p>
    <w:p>
      <w:r>
        <w:t>francs.</w:t>
      </w:r>
    </w:p>
    <w:p>
      <w:r>
        <w:t>Conformément à l'article 4 al.1 CPC, si la demande porte sur</w:t>
      </w:r>
    </w:p>
    <w:p>
      <w:r>
        <w:t>deux ou plusieurs objets, la valeur litigieuse est déterminée par la va-</w:t>
      </w:r>
    </w:p>
    <w:p>
      <w:r>
        <w:t>leur totale des objets réclamés cumulativement, aussi bien dans le cas où</w:t>
      </w:r>
    </w:p>
    <w:p>
      <w:r>
        <w:t>le demandeur fait valoir plusieurs prétentions contre un seul défendeur</w:t>
      </w:r>
    </w:p>
    <w:p>
      <w:r>
        <w:t>que dans le cas où ses prétentions s'adressent à plusieurs défendeurs,</w:t>
      </w:r>
    </w:p>
    <w:p>
      <w:r>
        <w:t>pourvu qu'il existe entre ces derniers un rapport de consorité et que les</w:t>
      </w:r>
    </w:p>
    <w:p>
      <w:r>
        <w:t>divers chefs de conclusion ne s'excluent pas réciproquement.</w:t>
      </w:r>
    </w:p>
    <w:p>
      <w:r>
        <w:t>Cette disposition ne traite que de la consorité passive. Il</w:t>
      </w:r>
    </w:p>
    <w:p>
      <w:r>
        <w:t>n'existe cependant aucun motif pour ne pas appliquer la même règle à la</w:t>
      </w:r>
    </w:p>
    <w:p>
      <w:r>
        <w:t>consorité active, comme l'avait du reste déjà fait la jurisprudence rendue</w:t>
      </w:r>
    </w:p>
    <w:p>
      <w:r>
        <w:t>sous l'empire du Code de procédure de 1925 (ATC VIII 565). Le législateur</w:t>
      </w:r>
    </w:p>
    <w:p>
      <w:r>
        <w:t>du Code de procédure de 1991 qui a édicté l'article 4 précité, entendait</w:t>
      </w:r>
    </w:p>
    <w:p>
      <w:r>
        <w:t>"apporter quelques précisions en cas de pluralité d'objets" (BGC 154 I</w:t>
      </w:r>
    </w:p>
    <w:p>
      <w:r>
        <w:t>325). Il n'entendait pas remettre en cause la jurisprudence rendue sous</w:t>
      </w:r>
    </w:p>
    <w:p>
      <w:r>
        <w:t>l'empire du code de 1925. Il faut ainsi considérer que l'article 4 al.1</w:t>
      </w:r>
    </w:p>
    <w:p>
      <w:r>
        <w:t>CPC est lacunaire et n'est pas constitutif de silence qualifié (Marie-</w:t>
      </w:r>
    </w:p>
    <w:p>
      <w:r>
        <w:t>Françoise Schaad, La consorité en procédure civile, p.523).</w:t>
      </w:r>
    </w:p>
    <w:p>
      <w:r>
        <w:t>Par ailleurs, les demandeurs sont dans un rapport de consorité,</w:t>
      </w:r>
    </w:p>
    <w:p>
      <w:r>
        <w:t>leurs demandes étant fondées sur des faits et des moyens de droit analo-</w:t>
      </w:r>
    </w:p>
    <w:p>
      <w:r>
        <w:t>gues et leur objet étant de même nature (art.27 litt.b CPC).</w:t>
      </w:r>
    </w:p>
    <w:p>
      <w:r>
        <w:t>La jurisprudence à laquelle se réfère le défendeur (RJN 1 I 80)</w:t>
      </w:r>
    </w:p>
    <w:p>
      <w:r>
        <w:t>vise une autre situation que celle du cas d'espèce puisqu'il s'agissait de</w:t>
      </w:r>
    </w:p>
    <w:p>
      <w:r>
        <w:t>la jonction, en cours de procédure, de causes introduites successivement.</w:t>
      </w:r>
    </w:p>
    <w:p>
      <w:r>
        <w:t>2.      Il résulte de ce qui précède que la compétence de l'une des</w:t>
      </w:r>
    </w:p>
    <w:p>
      <w:r>
        <w:t>Cours civiles du Tribunal cantonal est donnée et que le moyen préjudiciel</w:t>
      </w:r>
    </w:p>
    <w:p>
      <w:r>
        <w:t>soulevé est mal fondé.</w:t>
      </w:r>
    </w:p>
    <w:p>
      <w:r>
        <w:t>Vu le sort de la cause, le défendeur supportera les frais et</w:t>
      </w:r>
    </w:p>
    <w:p>
      <w:r>
        <w:t>dépens de la procédure.</w:t>
      </w:r>
    </w:p>
    <w:p>
      <w:r>
        <w:t>Par ces motifs,</w:t>
      </w:r>
    </w:p>
    <w:p>
      <w:r>
        <w:t>LA IIe COUR CIVILE</w:t>
      </w:r>
    </w:p>
    <w:p>
      <w:r>
        <w:t>1. Rejette le moyen préjudiciel soulevé et déclare qu'elle est compétente</w:t>
      </w:r>
    </w:p>
    <w:p>
      <w:r>
        <w:t>pour connaître des demandes.</w:t>
      </w:r>
    </w:p>
    <w:p>
      <w:r>
        <w:t>2. Condamne le défendeur aux frais de la procédure arrêtés à 550 francs et</w:t>
      </w:r>
    </w:p>
    <w:p>
      <w:r>
        <w:t>avancés pour lui par l'Etat.</w:t>
      </w:r>
    </w:p>
    <w:p>
      <w:r>
        <w:t>3. Condamne le défendeur à verser aux demandeurs une indemnité de dépens</w:t>
      </w:r>
    </w:p>
    <w:p>
      <w:r>
        <w:t>de 700 francs.</w:t>
      </w:r>
    </w:p>
    <w:p>
      <w:r>
        <w:t>Neuchâtel, le 19 septembre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