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CC.1995.544 vom 18. Mai 1999</w:t>
      </w:r>
    </w:p>
    <w:p>
      <w:r>
        <w:t>NE Tribunal cantonal, 1999-05-18, FR</w:t>
      </w:r>
    </w:p>
    <w:p>
      <w:r>
        <w:rPr>
          <w:b/>
        </w:rPr>
        <w:t xml:space="preserve">Quelle: </w:t>
      </w:r>
      <w:r>
        <w:t>https://mcp.opencaselaw.ch/entscheid/ne_gerichte_CC.1995.544</w:t>
      </w:r>
    </w:p>
    <w:p>
      <w:r>
        <w:t>FR: NE_GERICHTE CC.1995.544 du 18 mai 1999</w:t>
      </w:r>
    </w:p>
    <w:p>
      <w:r>
        <w:t>IT: NE_GERICHTE CC.1995.544 del 18 maggio 1999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Condamner la défenderesse à payer à la demanderesse la</w:t>
      </w:r>
    </w:p>
    <w:p>
      <w:r>
        <w:t>somme de Fr. 257'473.- ou ce que justice connaîtra + in-</w:t>
      </w:r>
    </w:p>
    <w:p>
      <w:r>
        <w:t>térêts à 5 % dès le dépôt de la présente Demande.</w:t>
      </w:r>
    </w:p>
    <w:p>
      <w:r>
        <w:rPr>
          <w:b/>
        </w:rPr>
        <w:t>E. 3</w:t>
      </w:r>
    </w:p>
    <w:p>
      <w:r>
        <w:t>CC, in Stabilité et dynamisme du droit dans la jurisprudence du Tribunal</w:t>
      </w:r>
    </w:p>
    <w:p>
      <w:r>
        <w:t>fédéral suisse, Bâle 1975, p.355 ss), la défenderesse tient l'article 527</w:t>
      </w:r>
    </w:p>
    <w:p>
      <w:r>
        <w:t>ch.1 CC pour inapplicable, cette disposition ne s'appliquant que quand le</w:t>
      </w:r>
    </w:p>
    <w:p>
      <w:r>
        <w:t>rapport ordonné par l'article 626 al.2 CC n'a pas lieu parce que le débi-</w:t>
      </w:r>
    </w:p>
    <w:p>
      <w:r>
        <w:t>teur de ce rapport ne vient pas à la succession et n'y est pas représenté.</w:t>
      </w:r>
    </w:p>
    <w:p>
      <w:r>
        <w:t>Le cas de l'article 527 ch.4 CC n'est, pour elle, pas réalisé</w:t>
      </w:r>
    </w:p>
    <w:p>
      <w:r>
        <w:t>non plus, faute d'intention. Dans tous les cas, il n'y a pas lieu à réduc-</w:t>
      </w:r>
    </w:p>
    <w:p>
      <w:r>
        <w:t>tion car les demandeurs n'ont prouvé ni l'intention ni la connaissance de</w:t>
      </w:r>
    </w:p>
    <w:p>
      <w:r>
        <w:t>la différence de valeur.</w:t>
      </w:r>
    </w:p>
    <w:p>
      <w:r>
        <w:t>Reprenant ensuite les quatre cas de libéralité visés par les</w:t>
      </w:r>
    </w:p>
    <w:p>
      <w:r>
        <w:t>demandeurs, la défenderesse tient le raisonnement suivant :</w:t>
      </w:r>
    </w:p>
    <w:p>
      <w:r>
        <w:t>1) Les parties à l'acte de vente immobilière se sont basées sur</w:t>
      </w:r>
    </w:p>
    <w:p>
      <w:r>
        <w:t>une expertise objective (expertise G. , D.5/1, 2 et 3) pour</w:t>
      </w:r>
    </w:p>
    <w:p>
      <w:r>
        <w:t>fixer le prix de vente. Les autres expertises au dossier (ex-</w:t>
      </w:r>
    </w:p>
    <w:p>
      <w:r>
        <w:t>pertise judiciaire H. et D.  [D.19 et 33] et expertise E.</w:t>
      </w:r>
    </w:p>
    <w:p>
      <w:r>
        <w:t>déposée par le demandeur [CC 00552, D.3/17]) reposeraient sur</w:t>
      </w:r>
    </w:p>
    <w:p>
      <w:r>
        <w:t>des données inexactes; elles sont divergentes entre elles et</w:t>
      </w:r>
    </w:p>
    <w:p>
      <w:r>
        <w:t>ont été effectuées a posteriori. La seule expertise objective</w:t>
      </w:r>
    </w:p>
    <w:p>
      <w:r>
        <w:t>serait donc celle qui a été faite avant la vente alors que</w:t>
      </w:r>
    </w:p>
    <w:p>
      <w:r>
        <w:t>son but était inconnu de son auteur.</w:t>
      </w:r>
    </w:p>
    <w:p>
      <w:r>
        <w:t>2) Pour ce qui est de l'octroi d'un prêt sans intérêts, la dé-</w:t>
      </w:r>
    </w:p>
    <w:p>
      <w:r>
        <w:t>fenderesse soutient qu'il s'agit d'une pratique usuelle entre</w:t>
      </w:r>
    </w:p>
    <w:p>
      <w:r>
        <w:t>parent et enfant parce qu'elle est avantageuse fiscalement et</w:t>
      </w:r>
    </w:p>
    <w:p>
      <w:r>
        <w:t>non d'une libéralité - acte d'attribution volontaire impli-</w:t>
      </w:r>
    </w:p>
    <w:p>
      <w:r>
        <w:t>quant toujours un transfert d'un patrimoine à un autre,</w:t>
      </w:r>
    </w:p>
    <w:p>
      <w:r>
        <w:t>transfert qui serait inexistant en l'espèce -, l'absence</w:t>
      </w:r>
    </w:p>
    <w:p>
      <w:r>
        <w:t>d'intérêts étant d'ailleurs la règle en matière civile.</w:t>
      </w:r>
    </w:p>
    <w:p>
      <w:r>
        <w:t>3) La renonciation à l'usufruit n'a provoqué aucun appauvrisse-</w:t>
      </w:r>
    </w:p>
    <w:p>
      <w:r>
        <w:t>ment du de cujus ou enrichissement de la défenderesse puis-</w:t>
      </w:r>
    </w:p>
    <w:p>
      <w:r>
        <w:t>qu'à l'époque où l'acte est intervenu, plus aucun loyer n'é-</w:t>
      </w:r>
    </w:p>
    <w:p>
      <w:r>
        <w:t>tait réalisable ou réalisé en raison de transformations. Cet-</w:t>
      </w:r>
    </w:p>
    <w:p>
      <w:r>
        <w:t>te renonciation aurait dans tous les cas été compensée par</w:t>
      </w:r>
    </w:p>
    <w:p>
      <w:r>
        <w:t>les investissements importants de la défenderesse pour la</w:t>
      </w:r>
    </w:p>
    <w:p>
      <w:r>
        <w:t>rénovation complète du bâtiment.</w:t>
      </w:r>
    </w:p>
    <w:p>
      <w:r>
        <w:t>4) Enfin, les demandeurs n'ont pas apporté la preuve de l'utili-</w:t>
      </w:r>
    </w:p>
    <w:p>
      <w:r>
        <w:t>sation des fonds prélevés par la défenderesse sur le compte</w:t>
      </w:r>
    </w:p>
    <w:p>
      <w:r>
        <w:t>en banque du de cujus, ni d'éventuels dons en espèces de ce-</w:t>
      </w:r>
    </w:p>
    <w:p>
      <w:r>
        <w:t>lui-ci à celle-là. Douze des treize prélèvements allégués ont</w:t>
      </w:r>
    </w:p>
    <w:p>
      <w:r>
        <w:t>été le fait du de cujus personnellement (D.40) et le dossier</w:t>
      </w:r>
    </w:p>
    <w:p>
      <w:r>
        <w:t>démontrerait au contraire que le de cujus a dû faire face à</w:t>
      </w:r>
    </w:p>
    <w:p>
      <w:r>
        <w:t>d'importantes dépenses médicales et qu'il a fait preuve de</w:t>
      </w:r>
    </w:p>
    <w:p>
      <w:r>
        <w:t>prodigalité envers ses gouvernantes (D.24).</w:t>
      </w:r>
    </w:p>
    <w:p>
      <w:r>
        <w:t>F. Dans leurs conclusions en cause, les demanderesses ont ramené</w:t>
      </w:r>
    </w:p>
    <w:p>
      <w:r>
        <w:t>chacune les conclusions 1 et 2 de leur demande au montant de 229'381</w:t>
      </w:r>
    </w:p>
    <w:p>
      <w:r>
        <w:t>francs; dans les siennes, le demandeur a réduit ses conclusions à</w:t>
      </w:r>
    </w:p>
    <w:p>
      <w:r>
        <w:t>458'628.90 francs.</w:t>
      </w:r>
    </w:p>
    <w:p>
      <w:r>
        <w:t>C O N S I D E R A N 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