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CACIV.2025.37 vom 13. Oktober 2025</w:t>
      </w:r>
    </w:p>
    <w:p>
      <w:r>
        <w:t>NE Tribunal cantonal, 2025-10-13, FR</w:t>
      </w:r>
    </w:p>
    <w:p>
      <w:r>
        <w:rPr>
          <w:b/>
        </w:rPr>
        <w:t xml:space="preserve">Quelle: </w:t>
      </w:r>
      <w:r>
        <w:t>https://mcp.opencaselaw.ch/entscheid/ne_gerichte_CACIV.2025.37</w:t>
      </w:r>
    </w:p>
    <w:p>
      <w:r>
        <w:t>FR: NE_GERICHTE CACIV.2025.37 du 13 octobre 2025</w:t>
      </w:r>
    </w:p>
    <w:p>
      <w:r>
        <w:t>IT: NE_GERICHTE CACIV.2025.37 del 13 ottobre 2025</w:t>
      </w:r>
    </w:p>
    <w:p>
      <w:pPr>
        <w:pStyle w:val="Heading2"/>
      </w:pPr>
      <w:r>
        <w:t>Erwägungen</w:t>
      </w:r>
    </w:p>
    <w:p>
      <w:r>
        <w:rPr>
          <w:b/>
        </w:rPr>
        <w:t>E. 40</w:t>
      </w:r>
    </w:p>
    <w:p>
      <w:r>
        <w:t>= 93, 41 = 96, 42 = 102, 43 = 103 et 44 = 104), soit d’une écriture introductive d’instance, dont l’appel ne fait que reproduire le contenu, sans prendre en compte les éléments du jugement intervenu dans l’intervalle. Il s’agit typiquement d’une approche irrecevable en appel. 5. Vu ce qui précède, l’appel doit être déclaré irrecevable, aux frais de son auteur. L’appelant sollicite l’assistance judiciaire, mais le refus d’une telle assistance signifié le 1 er septembre 2025 doit être confirmé, puisqu’un appel irrecevable ne peut avoir des chances de succès. Les frais du présent arrêt seront mis à la charge de l’appelant, qui devra verser des dépens à l’intimée, fixés sur la base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