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CACIV.2025.36 vom 18. September 2025</w:t>
      </w:r>
    </w:p>
    <w:p>
      <w:r>
        <w:t>NE Tribunal cantonal, 2025-09-18, FR</w:t>
      </w:r>
    </w:p>
    <w:p>
      <w:r>
        <w:rPr>
          <w:b/>
        </w:rPr>
        <w:t xml:space="preserve">Quelle: </w:t>
      </w:r>
      <w:r>
        <w:t>https://mcp.opencaselaw.ch/entscheid/ne_gerichte_CACIV.2025.36</w:t>
      </w:r>
    </w:p>
    <w:p>
      <w:r>
        <w:t>FR: NE_GERICHTE CACIV.2025.36 du 18 septembre 2025</w:t>
      </w:r>
    </w:p>
    <w:p>
      <w:r>
        <w:t>IT: NE_GERICHTE CACIV.2025.36 del 18 settembre 2025</w:t>
      </w:r>
    </w:p>
    <w:p>
      <w:pPr>
        <w:pStyle w:val="Heading2"/>
      </w:pPr>
      <w:r>
        <w:t>Erwägungen</w:t>
      </w:r>
    </w:p>
    <w:p>
      <w:r>
        <w:rPr>
          <w:b/>
        </w:rPr>
        <w:t>E. 2</w:t>
      </w:r>
    </w:p>
    <w:p>
      <w:r>
        <w:t>CCT,"Grilles des salaires minimaux au 1.1.2017") et inférieur à la plus basse rémunération pour les"nettoyages spécifiques et de chantier".</w:t>
      </w:r>
    </w:p>
    <w:p>
      <w:r>
        <w:t>-Enfin, les frais kilométriques et la facture de K.________ SA est un coût effectif ».</w:t>
      </w:r>
    </w:p>
    <w:p>
      <w:r>
        <w:t>8.3.Les griefs de lappelante ne respectent pas sur ce point les exigences minimales de motivation.</w:t>
      </w:r>
    </w:p>
    <w:p>
      <w:r>
        <w:t>8.3.1.En effet, selon l'article 311 al. 1 CPC, il incombe à lappelant de motiver son appel, y compris lorsqu'il invoque une constatation inexacte des faits (art. 310 let. b CPC). La motivation constitue une condition légale de recevabilité, qui doit être examinée d'office (arrêt du TF du 19.08.2021 [4D_9/2021] cons. 3.3.1).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TF du 09.09.2024 [4A_439/2023] cons. 4.1.1).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(arrêt du TF du 30.08.2022 [4A_621/2021] cons. 3.1).</w:t>
      </w:r>
    </w:p>
    <w:p>
      <w:r>
        <w:t>8.3.2.En lespèce, lappelante nexplique pas en quoi le premier juge aurait retenu à tort quelle nétait pas parvenue à prouver quelle avait effectivement exécuté les prestations faisant lobjet de ses factures nos [666], [777] et 25396, soit quels sont les moyens de preuve qui contredisent cette conclusion. Cette lacune scelle le sort du grief. Alors quen rapport avec les factures de lintimée faisant lobjet des considérants 4, 5 et 6 ci-dessus, on peut se convaincre du contenu de laccord des parties, du fait que lintimée a effectivement livré à lappelante tous les éléments facturés et que lappelante na pas rapidement contesté que lun ou lautre des éléments facturés ait correspondu à une prestation effective de lintimée, la situation est tout autre en rapport avec les factures nos [666], [777] et 25396 de lappelante, puisquon ne peut pas se convaincre du contenu de laccord des parties (lappelante admet elle-même que «le contrat nétait pas finalisé», respectivement «labsence de contrat entièrement défini»), dune part, et que lappelante na pas été en mesure de fournir à lintimée les justificatifs réclamés par cette dernière en rapport avec les prestations facturées par lappelante, dautre part.àcela sajoute encore que lappelante ne dit pas quel moyen de preuve prouverait son allégué, contesté par lintimée, selon lequel cette dernière aurait «facturé et encaissé les prestations effectuées par [lappelante] auprès des différentes communes». Dans ces conditions, les griefs soulevés ne sont pas propres à modifier le sort de la cause sur ce point.</w:t>
      </w:r>
    </w:p>
    <w:p>
      <w:r>
        <w:t>Par surabondance, non seulement lallégué 246 dont lappelante se prévaut ne consiste quen lénoncé de dates et de villes, sans décrire quelles prestations auraient été effectuées, quand et par qui aux dates en question en faveur des villes en question, ce qui parait à première vue insuffisant (cf. ATF 144 III 519, cons. 5.2.1.2 et les arrêts cités ; arrêts du TF du 08.10.2018 [4A_11/2018] cons. 5.2.1.2. et les réf. cit. ; du 22.01.2018 [4A_281/2017] cons. 5 et les arrêts cités), mais cet allégué ne renvoie à aucun moyen de preuve propre à prouver que lappelante aurait effectivement effectué ou payé des prestations précises correspondant aux éléments faisant lobjet des factures nos [666], [777] et 25396.</w:t>
      </w:r>
    </w:p>
    <w:p>
      <w:r>
        <w:t>Toujours par surabondance, lappelante ne précise pas, en rapport avec ses factures nos [666], [777] et 25396, quelles sont exactement les prestations quelle a effectuées ou payées à des entreprises tierces, ni en quoi ont consisté ses prestations, ce qui permet de fixer la valeur de ces prestations et quelles ont été ses dépenses et ses frais. Lappelante ne prétend pas davantage avoir fourni des allégués et des moyens de preuve sur ces points en première instance. En tout état de cause, si lappelante avait effectivement fourni des prestations et/ou payé des entreprises tierces en rapport avec les différents postes faisant lobjet de ses factures nos [666], [777] et 25396, elle aurait dû en toute logique être en mesure dexpliquer concrètement ce quelle avait fait et/ou payé et de fournir les pièces propres à le prouver.</w:t>
      </w:r>
    </w:p>
    <w:p>
      <w:r>
        <w:t>VI.Frais et dépens</w:t>
      </w:r>
    </w:p>
    <w:p>
      <w:r>
        <w:t>9.Vu lensemble de ce qui précède, lappel doit être rejeté, dans la mesure de sa recevabilité. Lappelante ne remet en cause les chiffres 4, 5 et 6 du dispositif querellé quen rapport avec ladmission de ses griefs au fond. Il ny a donc pas lieu de revenir sur les frais de première instance.</w:t>
      </w:r>
    </w:p>
    <w:p>
      <w:r>
        <w:t>10.a) Les frais judiciaires de seconde instance sont arrêtés à 6'700 francs et mis à la charge de lappelante, qui les a avancés (art. 106 al. 1 CPC).</w:t>
      </w:r>
    </w:p>
    <w:p>
      <w:r>
        <w:t>b) Lappelante doit en outre être condamnée à verser à lintimée une indemnité de dépens pour la procédure dappel. Lintimée a renoncé à produire un état de ses honoraires et frais et requis qu'il soit statué sur la base du dossier, tout en faisant valoir que lampleur du mémoire d'appel avait nécessité un important travail de rédaction de la réponse, justifiant qu'il soit fait application de l'article 61 al. 1 de la loi fixant le tarif des frais, des émoluments de chancellerie et des dépens en matière civile, pénale et administrative (LTFrais, RSN 164.1).</w:t>
      </w:r>
    </w:p>
    <w:p>
      <w:r>
        <w:t>Les cantons fixent le tarif des frais (art. 96 al. 1 CPC). Selon le droit neuchâtelois, leshonoraires sont proportionnés à la valeur litigieuse (art. 58 al. 1 LTFrais) et fixés dans les limites du tarif prévu à larticle 59 LTFrais, en fonction du temps nécessaire à la cause, de sa nature, de son importance, de sa difficulté, du résultat obtenu ainsi que de la responsabilité encourue par le représentant (art. 58 al. 1 LTFrais). Selon larticle 61 LTFrais, dans les causes qui ont nécessité un travail particulier, notamment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l'autorité saisie peut accorder des honoraires d'un montant supérieur à celui prévu par le tarif (al. 1). À linverse, lorsqu'il y a une disproportion manifeste entre la valeur litigieuse et l'intérêt des parties au procès, ou entre la rémunération due d'après le tarif et le travail effectif du représentant, l'autorité saisie peut ramener les honoraires au‑dessous du minimum prévu par le tarif (al. 2). Les frais de ports, de copies et de téléphone sont calculés selon les frais effectifs ou forfaitairement à raison de 10 % des honoraires (art. 63 LTFrais).</w:t>
      </w:r>
    </w:p>
    <w:p>
      <w:r>
        <w:t>En lespèce, lactivité du mandataire de lintimée en appel a consisté essentiellement dans la prise de connaissance du mémoire dappel de 40 pages, la rédaction dune réponse de 10 pages, la prise de connaissance du présent arrêt et des entretiens avec sa mandante (explications relatives au contenu de lappel, à la stratégie de défense en appel et au contenu du présent arrêt). Pour lensemble de cette activité et compte tenu aussi de la nature, de lampleur et de la difficulté de la cause, lindemnité de dépens sera arrêtée à 5'500 francs. Cela correspond à plus de 15 heures dactivité au tarif horaire de 300 francs en usage dans le canton (cf. art. 36a LI-CPP par analogie), plus lindemnité forfaitaire pour les frais et la TVA.</w:t>
      </w:r>
    </w:p>
    <w:p>
      <w:r>
        <w:t>Par ces motifs,LA COUR D'APPEL CIVILE</w:t>
      </w:r>
    </w:p>
    <w:p>
      <w:r>
        <w:t>1.Rejette lappel, dans la mesure de sa recevabilité.</w:t>
      </w:r>
    </w:p>
    <w:p>
      <w:r>
        <w:t>2.Arrête les frais de la procédure dappel à 6'700 francs et les met à la charge de lappelante, qui les a avancés.</w:t>
      </w:r>
    </w:p>
    <w:p>
      <w:r>
        <w:t>3.Condamne lappelante à verser à lintimée une indemnité de dépens de 5'500 francs pour la procédure dappel.</w:t>
      </w:r>
    </w:p>
    <w:p>
      <w:r>
        <w:t>Neuchâtel, le 18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