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CACIV.2024.6 vom 30. April 2024</w:t>
      </w:r>
    </w:p>
    <w:p>
      <w:r>
        <w:t>NE Tribunal cantonal, 2024-04-30, FR</w:t>
      </w:r>
    </w:p>
    <w:p>
      <w:r>
        <w:rPr>
          <w:b/>
        </w:rPr>
        <w:t xml:space="preserve">Quelle: </w:t>
      </w:r>
      <w:r>
        <w:t>https://mcp.opencaselaw.ch/entscheid/ne_gerichte_CACIV.2024.6</w:t>
      </w:r>
    </w:p>
    <w:p>
      <w:r>
        <w:t>FR: NE_GERICHTE CACIV.2024.6 du 30 avril 2024</w:t>
      </w:r>
    </w:p>
    <w:p>
      <w:r>
        <w:t>IT: NE_GERICHTE CACIV.2024.6 del 30 aprile 2024</w:t>
      </w:r>
    </w:p>
    <w:p>
      <w:pPr>
        <w:pStyle w:val="Heading2"/>
      </w:pPr>
      <w:r>
        <w:t>Erwägungen</w:t>
      </w:r>
    </w:p>
    <w:p>
      <w:r>
        <w:rPr>
          <w:b/>
        </w:rPr>
        <w:t>E. 1</w:t>
      </w:r>
    </w:p>
    <w:p>
      <w:r>
        <w:t>________ étaient divorcés) dit avoir laissé tout le suivi administratif aux bons soins de son ex-épouse, ce qui impliquait au moment d’être attrait en justice une attention d’autant plus grande. Cette attention aurait dû concrètement se traduire par des investigations minimales dont il serait ressorti que des montants supplémentaires avaient été versés à B</w:t>
      </w:r>
    </w:p>
    <w:p>
      <w:r>
        <w:rPr>
          <w:b/>
        </w:rPr>
        <w:t>E. 2</w:t>
      </w:r>
    </w:p>
    <w:p>
      <w:r>
        <w:t>________ invoquait et il serait contraire à l’article 328 CPC tel qu’explicité ci-dessus que d’admettre que A.________ puisse désormais dire qu’il ignorait ou ne pouvait pas savoir (selon lui) que cela n’était pas exact. Le mandataire des ex-époux, tout comme A.________ lui-même, pouvaient avoir accès à l’information litigieuse en faisant preuve de la diligence minimale attendue d’un plaideur. Même une personne qui n’est pas versée dans les affaires administratives comprend que lorsqu’on engage un entrepreneur, y compris par le biais d’un intermédiaire qui a ici pu être D.________, les prestations ou acomptes payés au fur et à mesure s’additionnent et qu’en cas de litige, il tombe sous le sens que les avances versées doivent être vérifiées. Cette vérification ne nécessitait pas de connaissance particulières en français ou en comptabilité et est au demeurant aisée par la lecture de relevés bancaires où les débits apparaissent. Ces derniers devaient d’autant plus sauter aux yeux que les montants en jeu portaient sur des milliers de francs. Là encore, le fait de déléguer à son (ex-)épouse, également défenderesse à la procédure, l’entier des tâches administratives et de ne pas procéder ensuite, une fois le procès entamé, à une vérification n e saurait être considéré comme excusable. Le seul fait que l’intérêt au procès de l’ex-épouse rejoignait celui de l’ex-époux ne rend pas non plus excusable l’absence de vérification de sa part. Sous cet angle, l’audition des personnes avec qui l’épouse aurait à l’époque été en contact (D.________, H.________ et I.________) n’est pas ici utile ; le sort de la cause tel qu’exposé ci-dessus vaut même si l’épouse avait eu seule les contacts administratifs, chose que le demandeur entend démontrer par les auditions sollicitées, et la question déterminante réside dans les vérifications que lui-même devait faire et dans le fait qu’il doit se laisser imputer ce que son épouse savait. Les trois versements invoqués comme fondement à la révision ne peuvent ainsi pas être pris en compte au sens de l’article 328 al. 1 let. a CPC, puisque ces moyens de preuve, à supposer qu’ils aient été concluants, auraient pu être invoqués dans la procédure précédente. Il y a là un obstacle rédhibitoire à la demande de révision. Les conditions mises par le législateur à une telle procédure de révision visent à éviter que tout pseudo nova , quelle que soit la diligence des plaideurs, puisse donner lieu à une révision ; en cela, elles assurent la sécurité juridique, mais ne préjugent évidemment pas des possibilités de compensation ou répétition de l’indu, si les conditions en sont réunies, ce qu’il n’y a pas lieu d’examiner. Il n’est donc pas nécessaire de donner suite aux réquisitions de preuve présentées par le demandeur. Pour être complet, on précisera que la question de l’authenticité des pièces sur lesquelles le demandeur se fondait pour solliciter la révision n’est pas déterminante.</w:t>
      </w:r>
    </w:p>
    <w:p>
      <w:r>
        <w:rPr>
          <w:b/>
        </w:rPr>
        <w:t>E. 4</w:t>
      </w:r>
    </w:p>
    <w:p>
      <w:r>
        <w:t>a) Au vu de ce qui précède, il n’y a pas lieu de donner suite à la demande en révision et la deuxième phase de l’examen n’a pas à être opérée. b) La demande est donc rejetée, aux frais de son auteur (le sort des conclusions reconventionnelles de la défenderesse n’ayant pour ainsi dire pas demandé de travail, elles n’influenceront pas cette répartition des frais). Cette issue rend sans objet la requête de suspension du caractère exécutoire de l’arrêt du 11 août 2020. c) Le demandeur sollicite l’assistance judiciaire. Au vu du sort à réserver à la cause et en particulier au fait que la démarche en révision était dénuée de chances de succès sur la question de l’impossibilité – pour un plaideur diligent – à invoquer précédemment les pseudo nova , il convient de rejeter cette demande. d) Le demandeur doit verser à l’un et l’autre des défendeurs une indemnité de dépens, fixée sur la base du dossier à 1'200 francs chacun.</w:t>
      </w:r>
    </w:p>
    <w:p>
      <w:r>
        <w:rPr>
          <w:b/>
        </w:rPr>
        <w:t>E. 11</w:t>
      </w:r>
    </w:p>
    <w:p>
      <w:r>
        <w:t>août 2020.</w:t>
      </w:r>
    </w:p>
    <w:p>
      <w:r>
        <w:t>c) Le demandeur sollicite lassistance judiciaire. Au vu du sort à réserver à la cause et en particulier au fait que la démarche en révision était dénuée de chances de succès sur la question de limpossibilité  pour un plaideur diligent  à invoquer précédemment lespseudo nova, il convient de rejeter cette demande.</w:t>
      </w:r>
    </w:p>
    <w:p>
      <w:r>
        <w:t>d) Le demandeur doit verser à lun et lautre des défendeurs une indemnité de dépens, fixée sur la base du dossier à 1'200 francs chacun.</w:t>
      </w:r>
    </w:p>
    <w:p>
      <w:r>
        <w:t>Par ces motifs,LA COUR D'APPEL CIVILE</w:t>
      </w:r>
    </w:p>
    <w:p>
      <w:r>
        <w:t>1.Rejette la demande de révision.</w:t>
      </w:r>
    </w:p>
    <w:p>
      <w:r>
        <w:t>2.Dit que le présent arrêt rend sans objet la requête de suspension du caractère exécutoire de larrêt du 11 août 2020.</w:t>
      </w:r>
    </w:p>
    <w:p>
      <w:r>
        <w:t>3.Rejette la demande dassistance judiciaire de A.________.</w:t>
      </w:r>
    </w:p>
    <w:p>
      <w:r>
        <w:t>4.Arrête les frais de la procédure de révision à 600 francs et les met à la charge de A.________.</w:t>
      </w:r>
    </w:p>
    <w:p>
      <w:r>
        <w:t>5.Condamne A.________ à verser une indemnité de dépens de 1'200 francs à B2________ et de 1'200 francs à B1________.</w:t>
      </w:r>
    </w:p>
    <w:p>
      <w:r>
        <w:t>Neuchâtel, le 30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