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CACIV.2023.36 vom 2. Mai 2023</w:t>
      </w:r>
    </w:p>
    <w:p>
      <w:r>
        <w:t>NE Tribunal cantonal, 2023-05-02, FR</w:t>
      </w:r>
    </w:p>
    <w:p>
      <w:r>
        <w:rPr>
          <w:b/>
        </w:rPr>
        <w:t xml:space="preserve">Quelle: </w:t>
      </w:r>
      <w:r>
        <w:t>https://mcp.opencaselaw.ch/entscheid/ne_gerichte_CACIV.2023.36</w:t>
      </w:r>
    </w:p>
    <w:p>
      <w:r>
        <w:t>FR: NE_GERICHTE CACIV.2023.36 du 2 mai 2023</w:t>
      </w:r>
    </w:p>
    <w:p>
      <w:r>
        <w:t>IT: NE_GERICHTE CACIV.2023.36 del 2 maggio 2023</w:t>
      </w:r>
    </w:p>
    <w:p>
      <w:pPr>
        <w:pStyle w:val="Heading2"/>
      </w:pPr>
      <w:r>
        <w:t>Erwägungen</w:t>
      </w:r>
    </w:p>
    <w:p>
      <w:r>
        <w:rPr>
          <w:b/>
        </w:rPr>
        <w:t>E. 3</w:t>
      </w:r>
    </w:p>
    <w:p>
      <w:r>
        <w:t>a) Les faits et les moyens de preuve nouveaux ne sont pris en considération en appel que s'ils sont invoqués ou produits sans retard (art. 317 al. 1 let. a CPC ) et s'ils ne pouvaient pas être invoqués ou produits devant la première instance bien que la partie qui s'en prévaut ait fait preuve de la diligence requise (let. b), ces deux conditions étant cumulatives. Il appartient à l’appelant de démontrer que ces conditions sont réalisées, de sorte que l’appel doit indiquer spécialement de tels faits et preuves nouveaux et exposer précisément les raisons qui les rendent admissibles (arrêt du TF du 15.07.2020 [4A_76/2019] cons. 8 et les arrêts cités). Dans le système prévu par le CPC, tous les faits et moyens de preuve doivent en principe être apportés dans la procédure de première instance ; la diligence requise suppose donc qu’à ce stade, chaque partie expose l’état de fait de manière soigneuse et complète et qu’elle fournisse tous les éléments propres à établir les faits jugés importants (arrêt du TF du 16.10.2012 [4A_334/2012] ). b) En l’occurrence, l’appelante produit devant la Cour de céans une pièce consistant en une remise de dette datée du 5 février 2021 qu’elle a conclue avec A.________. Ce document est nouveau puisqu’il a été remis postérieurement à la décision rendue en première instance. Il est produit pour démontrer que l’appelante ne réclame pas de l’intimé l’entier du montant visé par le contrat de prêt, mais seulement la moitié, A.________ étant libérée de sa propre moitié. L’appelante soutient que cet allégué ne doit pas être prouvé puisqu’il n’a pas été contesté par sa partie adverse. Il faut toutefois constater que, dans sa réponse à la requête, l’intimé s’est déterminé en indiquant aux allégués 42 et 47 que la remise de dette en faveur de A.________ était « un abandon fictif de créance sans la moindre preuve » et qu’il a requis la preuve de l’abandon de créance et du paiement de la somme remise. La partie intimée a donc valablement contesté l’existence de la remise de dette. De surcroît, dans son courrier du 10 juin 2022, X.________ SA a renoncé à exercer son droit de réplique, n’exposant pas les faits pertinents ni les preuves en détail au sujet de la remise de dette, alors qu’elle en avait à ce moment-là l’occasion, et qu’elle s’est contentée de reprendre les principales lignes qu’elle avait déjà exposées. Comme elle ne s’est prévalue de ce moyen de preuve qu’en seconde instance, sans avoir démontré ni même allégué qu’il ne pouvait pas être invoqué ou produit en première instance, l’appelante ne démontre pas que les conditions d’application de l’article 317 CPC seraient réalisées et la pièce produite devant la Cour de céans doit être écartée.</w:t>
      </w:r>
    </w:p>
    <w:p>
      <w:r>
        <w:rPr>
          <w:b/>
        </w:rPr>
        <w:t>E. 4</w:t>
      </w:r>
    </w:p>
    <w:p>
      <w:r>
        <w:t>La question est de savoir si le Tribunal civil a correctement appliqué l’article 158 CPC en rejetant la requête de preuve à futur. 1 2 3</w:t>
      </w:r>
    </w:p>
    <w:p>
      <w:r>
        <w:rPr>
          <w:b/>
        </w:rPr>
        <w:t>E. 4.1</w:t>
      </w:r>
    </w:p>
    <w:p>
      <w:r>
        <w:t>a) Selon l'article 158 CPC , le tribunal peut ordonner qu'une preuve soit administrée à tout moment, également hors procès. La loi limite cependant le droit à la preuve à futur aux cas dans lesquels il existe une prétention légale à l'administration d'une preuve hors procès (al. 1 let. a), lorsque le moyen de preuve ou la force probante de cette preuve est mise en danger (al. 1 let. b), ou lorsque le requérant rend vraisemblable un intérêt digne de protection à l'administration d'une preuve à futur (al. 1 let. b). b) Les preuves sont administrées avant la litispendance, de sorte que l'objet du litige au fond n'est pas encore déterminé avec précision. Par conséquent, il incombe en premier lieu au requérant de fournir au juge les indications nécessaires au sujet de l'état de fait et de préciser la mesure dans laquelle la preuve requise doit être administrée (arrêt du TF du 25.01.2013 [5A_832/2012] cons. 7.1.2). c) Dans le premier cas visé à l’article 158 al. 1 let. b CPC , la preuve à futur a pour but d'assurer la conservation de la preuve, lorsque le moyen de preuve risque de disparaître ou que son administration ultérieure se heurterait à de grandes difficultés. Une partie peut donc requérir une expertise ou une autre preuve sur des faits qu'elle entend invoquer dans un procès éventuel, en vue de prévenir la perte de ce moyen de preuve (arrêt du TF du 24.02.2021 [4D_57/2020] cons. 3.1 ; ATF 142 III 40 cons. 3.1.1 p. 43). d) Dans le second cas visé par cette disposition, la preuve à futur hors procès est destinée à permettre au requérant de clarifier les chances de succès d'un éventuel procès au fond (arrêt du TF du 24.02.2021 [4D_57/2020] cons. 3.1). Il ressort en effet du message du Conseil fédéral que la locution « intérêt digne de protection » se réfère dans ce contexte à la possibilité d'évaluer les chances d'obtenir gain de cause ou d'apporter une preuve dans le cadre d'un éventuel futur procès ; cette possibilité a pour objectif de diminuer ou d'éviter des procédures dénuées de chances de succès (Message du 28 juin 2006 relatif au code de procédure civile suisse, FF 2006 6841, ad art. 155 du projet, p. 6924 s.). D’après la jurisprudence ( ATF 143 III 113 cons. 4.4.1 ; arrêt du TF du 25.01.2013 [5A_832/2012] cons.  7.1.1 ; cf. aussi arrêt du TF du 08.09.2020 [4A_132/2020] cons. 3.1), pour « rapporter la preuve de la vraisemblance d'un intérêt digne de protection à l'administration d'une preuve hors procès, de simples allégations sur le besoin d'évaluer ou de clarifier les chances de succès d'une procédure ou d'une preuve à administrer ne sont pas suffisantes ». L'administration d'une preuve avant procès peut être requise uniquement lorsqu'elle se rapporte à une prétention concrète de droit matériel, l'intérêt à faire administrer une preuve dépendant de l'intérêt à faire reconnaître le bien-fondé d'une prétention. Le requérant qui motive sa demande d'administration anticipée d'une preuve doit ainsi rendre vraisemblable l'existence d'un état de fait sur la base duquel il fonde une prétention de droit matériel contre la partie adverse et dont la preuve peut être rapportée par le moyen de preuve à administrer. S'agissant des faits à établir par les moyens de preuve à administrer, on ne saurait toutefois exiger qu'ils soient en eux-mêmes rendus vraisemblables, sauf à méconnaître le but de l'article 158 alinéa 1 lettre b CPC , lequel tend précisément à clarifier les perspectives de preuve. Si la preuve requise constitue l'unique moyen pour le requérant de prouver sa prétention, on peut se limiter à exiger de sa part qu'il allègue de manière circonstanciée l'existence des faits fondant sa prétention. La démonstration de l'existence d'un « intérêt digne de protection » n'est pas soumise à des exigences trop sévères. Dans une ancienne jurisprudence, le Tribunal fédéral avait considéré que cet intérêt devait en principe être nié uniquement lorsqu'il faisait manifestement défaut, ce qui pouvait notamment être le cas lorsque le moyen de preuve n'était clairement pas approprié (arrêt du TF du 25.01.2013 [5A_832/2012] cons. 7.1.1). Ensuite, il a retenu que l’intérêt devait être nié quand le moyen de preuve n’était pas adapté à établir les faits fondant la prétention au fond et n’était pas propre à jouer un rôle important dans l’administration des preuves ( ATF 140 III 16 cons. 2.5, JdT 2016 II 299) et lorsqu’il existait déjà un moyen de preuve adéquat pour évaluer les chances de succès d’un procès ( ATF 140 III 24 , JdT 2016 II 308). Un intérêt digne de protection devrait cependant être admis lorsque la procédure de preuve à futur peut favoriser un accord extrajudiciaire ( Chabloz/Copt , in : Petit commentaire CPC, n. 11 ad art. 158). e) La procédure de preuve à futur ne vise pas à obtenir qu'il soit statué matériellement sur les droits ou obligations des parties, mais seulement à faire constater ou apprécier un certain état de fait (arrêt du TF du 24.02.2021 [4D_57/2020] cons. 3.1). En d’autres termes, dans le cadre de la preuve à futur, il ne s’agit que d’établir un état de fait à un moment donné et pas d’élucider à titre préalable des questions juridiques, de responsabilité par exemple ; la détermination des fautes et responsabilités des uns et des autres est exclue du champ d’application de l’article 158 CPC ( Schweizer , in : CR CPC, 2 e éd., n. 6a ad art. 158). La procédure de preuve à futur ne peut pas porter sur l’appréciation des preuves (arrêt du TF du 22.3.2017 [4A_419/2016] cons. 1.6 ; Chabloz/Copt, op. cit., n. 12 ad art. 158). f) La voie de la procédure de preuve à futur ne peut pas être utilisée pour procéder à une recherche indéterminée de moyens de preuve (« fishing expedition » ; ATF 141 III 119 cons. 7.1.1 ; Chabloz/Copt , op. cit., n. 12 ad art. 158). g) Tous les moyens de preuve prévus par les articles 168 ss CPC peuvent être administrés en preuve à futur hors procès, conformément aux règles qui leur sont applicables.</w:t>
      </w:r>
    </w:p>
    <w:p>
      <w:r>
        <w:rPr>
          <w:b/>
        </w:rPr>
        <w:t>E. 4.2</w:t>
      </w:r>
    </w:p>
    <w:p>
      <w:r>
        <w:t>Les codébiteurs qui répondent solidairement du paiement d’une dette – comme cela est le cas de A.________ et de l’intimé – forment une consorité simple ( Bohnet , Procédure civile, 2 e éd., p. 122 ; Schaad , La consorité en procédure civile, 1993, p. 41). Si, dans cette hypothèse, les codébiteurs peuvent être actionnés individuellement (comme sujet passif d’une prétention obligationnelle), cela n’exclut pas qu’ils puissent aussi, dans des circonstances particulières, former une consorité nécessaire (passive) lorsque la nature de l’affaire ( Natur der Sache ) l’exige ( ATF 107 III 91 cons. 3 ; arrêt du TF du 24.06.2019 [2C_509/2018] cons. 5.1 ; Schaad , La consorité en procédure civile, 1993, p. 341 ; von Holzen , Die Streitgenossenschaft im schweizerischen Zivilprozess, 2006, p. 87 ; Gross/Zuber , in BK ZPO, Band I, 2012, n. 25 ad art. 70). La jurisprudence l’admet dans l’hypothèse où « le jugement même serait compromis, parce que, faute d’une instance réunissant tous les intéressés, une preuve décisive ne pourrait être administrée », tout en précisant que de simples inconvénients de procédure, conséquences inévitables d’une division de cause, ne réalisent pas cette condition ( ATF 90 I 104 cons. 2b).</w:t>
      </w:r>
    </w:p>
    <w:p>
      <w:r>
        <w:rPr>
          <w:b/>
        </w:rPr>
        <w:t>E. 5</w:t>
      </w:r>
    </w:p>
    <w:p>
      <w:r>
        <w:t>a) En l’espèce, il convient d’examiner si l’appelante rend vraisemblable l’existence d’un intérêt digne de protection à ce que les documents sollicités soient produits, avant procès futur, pour clarifier les chances de succès d’un tel procès dirigé contre l’intimé. b) Il convient d’admettre que l’appelante a rendu vraisemblable l’existence d’un contrat de prêt, conclu entre les époux A.________ et Y._________ et feue B.________. L’appelante allègue qu’elle est titulaire de la créance en remboursement découlant de ce prêt sur la base d’une cession valablement convenue entre elle-même et C.________, héritière de feue B.________. La cession de créance a été alléguée à l’« article 4 » de la requête de preuve à futur (il n’est ici pas nécessaire d’examiner la question de l’acte simulé, soulevée par l’intimé). Dans cette perspective, le besoin pour l’appelante d’examiner si les conditions de remboursement dudit prêt sont remplies et de déterminer si la situation financière des emprunteurs permettrait de le rembourser paraît a priori légitime (sans qu’il n’y ait lieu de trancher définitivement cette question). c) Le 8 septembre 2020, l’appelante a mis en demeure les époux A.________ et Y._________ de s’acquitter de la somme de 1'091'460 francs. Le 5 février 2021, A.________ a convenu de manière extrajudiciaire et confidentielle d’une remise de dette avec X.________ SA (en tant que cessionnaire), pour la moitié du montant du prêt. La requête de preuve à futur a été formée exclusivement à l’encontre de Y.________, pour le solde de la dette, correspondant à la moitié du prêt. La remise de dette du 5 février 2021, qui est à l’origine de la démonstration fournie par la recourante, a seulement été alléguée par celle-ci dans sa requête. Elle n’a toutefois pas apporté la preuve de son existence devant l’instance précédente. Le document destiné à prouver la remise de dette, produit seulement devant l’instance d’appel, ne peut être pris en compte, comme on l’a vu, puisque sa production ne satisfait pas aux conditions posées à l’article 317 CPC (cf. supra cons. 3). Il convient dès lors de considérer que l’appelante n’est pas parvenue à démontrer qu’elle aurait remis la dette de A.________ et que celle-ci serait libérée de son obligation à cet égard. Il convient donc de retenir dans le cadre de la procédure de preuve à futur que A.________ reste débitrice du montant total du prêt, solidairement avec Y.________. d) Le texte du contrat de prêt, et plus particulièrement la clause contractuelle prévoyant la condition suspensive relative au remboursement du prêt, se réfère explicitement à la condition financière des deux époux. Ce critère, convenu par les parties au contrat, implique une analyse de la situation financière de Y.________ et de A.________. Ainsi, pour qu’il soit possible de se déterminer sur l’exigibilité du remboursement du prêt, l’instance précédente devait nécessairement requérir l’administration de preuves en rapport avec les deux intéressés. En ne visant qu’un seul des débiteurs, le Tribunal civil ne pourrait obtenir que des informations partielles, ne permettant pas d’établir l’ensemble des faits fondant la prétention au fond, singulièrement de déterminer si le prêt est exigible. Il apparaît ainsi que la nature même de la présente affaire, soit l’analyse des conditions relatives au remboursement du prêt, impliquait de former une action contre Y.________ et A.________, ceux-ci formant en ce sens une consorité nécessaire (cf. supra cons. 4.2). Il en résulte qu’en portant son action exclusivement à l’encontre de Y._________, l’appelante ne dispose pas d’un intérêt digne de protection au sens de l’article 158 CPC et que la décision attaquée rejetant la requête de preuve à futur doit être confirmée. Ce qui précède suffit à clore le débat et il est superflu d’examiner les autres critiques soulevées par l’appelante.</w:t>
      </w:r>
    </w:p>
    <w:p>
      <w:r>
        <w:rPr>
          <w:b/>
        </w:rPr>
        <w:t>E. 6</w:t>
      </w:r>
    </w:p>
    <w:p>
      <w:r>
        <w:t>Il résulte des considérations qui précèdent que l’appel doit être rejeté et la décision du 9 janvier 2023 confirmée. Les frais de la procédure d’appel seront mis à la charge de l’appelante, qui succombe (art. 106 CPC). Celle-ci versera une indemnité de dépens à l’intimé. Une indemnité de 500 francs, frais et TVA compris, semble appropriée au vu de l’activité réalisée par le mandataire, en l’absence de mémoire d’honoraires et au vu du dossier (art. 96, 105 CPC et 64 al. 2 LTFrais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