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CACIV.2022.34 vom 4. Juli 2022</w:t>
      </w:r>
    </w:p>
    <w:p>
      <w:r>
        <w:t>NE Tribunal cantonal, 2022-07-04, FR</w:t>
      </w:r>
    </w:p>
    <w:p>
      <w:r>
        <w:rPr>
          <w:b/>
        </w:rPr>
        <w:t xml:space="preserve">Quelle: </w:t>
      </w:r>
      <w:r>
        <w:t>https://mcp.opencaselaw.ch/entscheid/ne_gerichte_CACIV.2022.34</w:t>
      </w:r>
    </w:p>
    <w:p>
      <w:r>
        <w:t>FR: NE_GERICHTE CACIV.2022.34 du 4 juillet 2022</w:t>
      </w:r>
    </w:p>
    <w:p>
      <w:r>
        <w:t>IT: NE_GERICHTE CACIV.2022.34 del 4 luglio 2022</w:t>
      </w:r>
    </w:p>
    <w:p>
      <w:pPr>
        <w:pStyle w:val="Heading2"/>
      </w:pPr>
      <w:r>
        <w:t>Erwägungen</w:t>
      </w:r>
    </w:p>
    <w:p>
      <w:r>
        <w:rPr>
          <w:b/>
        </w:rPr>
        <w:t>E. 24</w:t>
      </w:r>
    </w:p>
    <w:p>
      <w:r>
        <w:t>janvier 2018, Y.________ a adressé au directeur général de X.________, C.________, une lettre de résiliation de son contrat de travail pour le 31 mars 2018. En substance, elle exposait son mécontentement devant la manière dont sa demande de réévaluation salariale avait été écartée. Par décision du 10 septembre 2018, la CCNAC a suspendu durant 31 jours indemnisables le droit de Y.________ aux indemnités de chômage, considérant qu’en résiliant son contrat de travail comme elle l’avait fait, alors qu’elle disposait d’une possibilité de travailler et sans s’être assurée préalablement d’un autre emploi, prenant ainsi délibérément le risque de tomber au chômage et de provoquer l’intervention de l’assurance, la travailleuse avait commis une faute grave. D. Le 30 octobre 2018, Y.________ a déposé devant la Chambre de conciliation du Tribunal régional des Montagnes et du Val-de-Ruz une demande de conciliation contre X.________, portant – selon l’exemplaire non signé qui figure au dossier – sur le paiement de 16'974 francs bruts. Se fondant sur la loi sur l’égalité et dénonçant une discrimination salariale liée au genre durant toute son activité au sein de cette entreprise, elle demandait à être payée rétroactivement de la différence de salaire entre la catégorie salariale qui lui avait été attribuée et celle de son ancien collègue F.________. Selon elle, tous deux avaient œuvré avec le même descriptif de fonction (soit « Specialist digital media ») et fourni un travail égal, ayant un niveau de formation équivalent, au sein d’une équipe sans hiérarchie, alors qu’ils n’étaient pas classés dans la même catégorie salariale. Elle disait avoir subi des pressions qui l’avaient amenée à démissionner. Une audience de conciliation a eu lieu le 10 décembre 2018, lors de laquelle les conclusions de la demande ont été portées à 29'560.65 francs bruts, avec intérêts à 5 % l’an dès le 1 er avril 2018, sous suite de frais et dépens. La conciliation ayant échoué, une autorisation de procéder a été délivrée à la travailleuse. E. Le 26 mars 2019, Y.________ a ouvert action contre X.________ devant le Tribunal civil en concluant, sous suite de frais et dépens, au paiement d’un montant brut de 29'560.65 francs, avec intérêts à 5 % à compter du 31 mars 2018. En substance et invoquant la loi sur l’égalité, Y.________ exposait dans le détail en quoi elle avait, selon elle, subi une discrimination salariale en raison du genre, laquelle lui avait occasionné un préjudice direct de 17'108 francs (différence salariale), un tort moral réclamé à hauteur de 6'000 francs et une retenue par la caisse de chômage de 6'452.65 francs. F. Par décision sur moyen préjudiciel du 26 septembre 2019, la juge du Tribunal civil a déclaré recevable la demande du 26 mars 2019 déposée devant elle, écartant dans ses motifs, car contraire à la bonne foi, l’argument tiré de l’incompétence du tribunal à raison du lieu, la conciliation ayant eu lieu devant le Tribunal régional des Montagnes et du Val-de-Ruz et l’action au fond étant introduite devant celui du Littoral et du Val-de-Travers. G. Dans sa réponse du 4 novembre 2019, X.________ a conclu au rejet de la demande. L’employeuse considérait en substance que la demanderesse, après avoir « demand[é] ouvertement à F.________, spécialiste digital média au sein du même service qu’elle, quel était son salaire », « en a[vait] tiré des conclusions hâtives en s’imaginant faire l’objet d’une discrimination en raison du sexe … (sic) ». Or les offres d’emploi auxquelles Y.________, d’une part, et F.________, d’autre part, avaient postulé, leurs descriptifs de fonction, leurs cahiers des charges et la note interne rédigée par leur supérieur hiérarchique permettaient de comprendre « aisément que tous deux n’effectuaient absolument pas le même travail et n’avaient par conséquent pas le même poste ! (sic) ». Pour la défenderesse, « [i]l ne faisait nul doute que F.________ avait plus de responsabilités que la demanderesse ! (sic) ». Les seuls points communs entre l’un et l’autre des travailleurs étaient la dénomination du poste qui figurait sur leurs fiches de salaire et le fait qu’ils travaillaient dans le même service, ce dont on ne pouvait tirer que les salaires devaient être les mêmes. Il n’y avait aucune discrimination salariale, les postes comparés étant différents et la responsabilité de la demanderesse moindre. Il était normal que les salaires soient alors différents et une solution contraire aurait engendré une discrimination en défaveur de F.________. H. Dans sa réplique du 5 mars 2020, la demanderesse a persévéré dans ses conclusions et la défenderesse en a fait de même dans sa duplique du</w:t>
      </w:r>
    </w:p>
    <w:p>
      <w:r>
        <w:rPr>
          <w:b/>
        </w:rPr>
        <w:t>E. 25</w:t>
      </w:r>
    </w:p>
    <w:p>
      <w:r>
        <w:t>Spécialistes des technologies de l’information et des communications » et «</w:t>
      </w:r>
    </w:p>
    <w:p>
      <w:r>
        <w:rPr>
          <w:b/>
        </w:rPr>
        <w:t>E. 26</w:t>
      </w:r>
    </w:p>
    <w:p>
      <w:r>
        <w:t>Spécialistes de la justice, des sciences sociales et de la culture ». Or les tâches confiées à F.________ et à Y.________ ne correspondent pas au profil 26, mais bien plus l’un et l’autre au groupe de profession 25, en qualité, d’une part, de spécialiste « des technologies de l’information » (grossièrement parlant, F.________) et, d’autre part, de « spécialiste des communications » (grossièrement parlant toujours, Y.________). Les deux aspects étant réunis dans une seule statistique, les pièces produites ne sont d’aucun secours à l’appelante pour soutenir la discrimination dont elle se plaint. d) Une dernière circonstance achève de se convaincre que la différence de salaire entre F.________ et Y.________ n’était pas liée au genre, mais résultait des tâches différentes qui leur étaient confiées (et, sur le marché, d’une valeur différente, indépendamment des diplômes). I.________, qui a succédé à Y.________ et a repris ses tâches (« Ce qu’elle faisait, I.________ les (sic) a reprises »), a été classé, comme l’appelante, en classe 4 et en a nourri les mêmes frustrations. Il a en particulier indiqué : « Mon salaire était de CHF 78'000.00 annuel brut. J’étais en classe 4. En négociation salariale, j’avais demandé plus en raison de ma formation mais le marché est ce qu’il est . J’ai terminé un travail à […] et je voulais revenir ici. Je trouve anormal qu’après toutes ces études, on soit colloqué en classe 4 en comparaison avec d’autres profils de la grille de classification. […] J’ai eu des discussions avec F.________ concernant son salaire. Il en ressortait qu’il y avait des différences pas forcément justifiées quant à la classe ». Ceci démontre clairement que si l’employeuse entendait rémunérer moins la fonction de l’appelante par rapport à ce qu’elle rémunérait F.________, ce n’était pas parce qu’elle était une femme, mais en raison du type de travail confié, puisque le successeur masculin de l’appelante s’est vu traiter de la même façon. Il n’y a alors pas discrimination à raison du genre. e) Finalement le fait que toutes les années d’expérience de l’appelante n’aient pas été valorisées par l’intimée tient au fait que dans sa politique salariale, applicable à tous, seules les années après 23 ans et celles utiles au poste ont été prises en compte. Il n’y a pas là non plus inégalité à raison du genre, puisque précisément cette politique s’applique à tous. f) L’appel doit donc être rejeté, en tant qu’il tend à ce que soit reconnue une discrimination à raison du genre, au détriment de Y.________. g) Comme le souligne clairement la jurisprudence (voir cons. 3.d ci-dessus), une expertise n’est pas nécessaire dans toute situation où une violation de la LEg est suspectée en matière salariale, au risque sinon de transférer à un expert les compétences qui appartiennent précisément au juge. Ainsi, « [s]i les questions de fait sont suffisamment clarifiées pour permettre une appréciation juridique par les parties et le tribunal, une expertise n'est donc pas nécessaire ». L’analyse qui précède démontre que les questions de fait sont tout à fait claires (l’un et l’autre des travailleurs concernés par la comparaison n’effectuaient pas les mêmes tâches) et l’utilisation des tables statistiques est régulière dans la fonction judiciaire, par exemple en droit matrimonial ou en droit des assurances sociales. Une expertise n’était ainsi pas nécessaire. L’appelante avait, du reste et avec raison, expressément renoncé à l’expertise sollicitée en première instance. Une telle expertise ne pourrait au demeurant pas « déterminer les critères permettant de mettre à jour une discrimination », tâche spécifiquement dévolue au juge qui applique la LEg et la jurisprudence y relative. Cette conclusion dispense de se prononcer sur la recevabilité – douteuse – d’une expertise sollicitée par une appelante qui avait expressément renoncé à ce moyen de preuve devant la juge civile. 5. a) Selon l'article 328 al. 1 CO , l'employeur protège et respecte, dans les rapports de travail, la personnalité du travailleur. En cas de violation de l'article 328 al. 1 CO , l'employé peut prétendre à une indemnité pour tort moral aux conditions de l'article 49 al. 1 CO . Selon cette disposition, celui qui subit une atteinte illicite à sa personnalité a droit à une somme d'argent à titre de réparation morale, pour autant que la gravité de l'atteinte le justifie et que l'auteur ne lui ait pas donné satisfaction autrement. N'importe quelle atteinte ne justifie pas une indemnité ; l'atteinte doit revêtir une certaine gravité objective et être ressentie par la victime, subjectivement, comme une souffrance morale suffisamment forte pour qu'il apparaisse légitime de s'adresser au juge afin d'obtenir réparation. Une indemnité est par exemple due au travailleur qui a été victime, dans l'entreprise de l'employeur, de harcèlement psychologique ou mobbing, lorsque, d'un point de vue objectif, il a subi une humiliation particulièrement sévère. Le juge dispose d'un large pouvoir d'appréciation pour déterminer si les circonstances justifient une indemnité pour tort moral dans le cas particulier (arrêt du TF du 01.12.2020 [4A_326/2020] cons. 3.2 et les références citées). b) Différents aspects sont importants au moment de trancher la question du tort moral réclamé par l’appelante. L’employeuse évolue, certes, dans le secteur privé mais sur un marché sur lequel le nombre de concurrents est limité. Son actionnariat est entièrement en mains publiques. Il s’agit d’une entreprise qui, de ce fait logiquement, se préoccupe spécialement de l’égalité salariale. Elle ne semblait toutefois pas avoir, au moment des faits, de protocole spécifique pour traiter des plaintes du type de celle de l’appelante. La description de la procédure menée frappe par son caractère informel, laissant à chaque partie de larges possibilités d’interprétation. L’illustration la plus édifiante est que, devant le désaccord persistant, le représentant de l’employeuse G.________ dit avoir indiqué à Y.________ qu’elle était libre de rester ou non dans l’entreprise, alors que cette dernière soutient avoir été (ou avoir compris qu’elle était) menacée de licenciement, ce qui n’est de loin pas équivalent (D. 15/12 accrédite la version de l’employeuse, puisqu’il y est mentionné, alors que la mention n’est pas d’emblée très habile, « 8. Choix de rester ou de donner son congé »). Le cadre des discussions n’était pas clairement annoncé ni balisé et il est étonnant que les parties (et H.________ lui-même, qui paraissait avoir peu de souvenirs diffèrent sur la présence souhaitée, possible ou exclue du délégué du personnel, ce qu’une meilleure formalisation aurait évité. Par ailleurs, certaines tensions étaient avérées au sein de X.________ et plusieurs témoins ont souligné ce que l’on qualifiera d’« a mbiance de non-écoute » de la part de certains supérieurs. Plusieurs situations d’épuisement professionnel ont été relatées. Pour sa part, D.________ a exposé avoir dit à l’appelante, lorsqu’elle l’a interpellé sur son problème salarial, qu’il allait « en parler avec son chef », puis a décrit de manière plutôt vague la suite effectivement donnée. Le procédé tel que perçu de l’extérieur, par exemple par J.________, n’apparaît pas comme particulièrement respectueux, sachant que le sujet peut être très sensible, mais une éventuelle façon de procéder trop directe n’est pas encore une atteinte à la personnalité, puisqu’il y manque manifestement l’intensité objective que suppose une telle atteinte. Subjectivement, les démarches que Y.________ a dû mener lui ont certainement paru lourdes. On peut également regretter que les supérieurs hiérarchiques de l’appelante n’aient pas traité la situation de manière plus rigoureuse, claire et explicite, ce d’autant qu’une présomption au sens de l’article 6 LEg était réalisée. Si on peut douter que l’appelante se serait contentée de leurs explications, convaincue qu’elle était (et ses collègues avec elle, à tort, on l’a vu) d’être discriminée, une approche plus collaborante des représentants de l’employeuse aurait certainement amené plus de sérénité. Cela étant, le dossier ne permet pas de retenir une atteinte d’une intensité telle qu’elle justifierait une indemnisation au titre du tort moral, étant précisé que les conflits sur le lieu de travail, que ce soit entre collègues ou avec ses supérieurs, pour désagréables qu’ils soient, font partie du monde du travail. À ce titre, les documents produits laissent entrevoir ce qu’on pourrait qualifier d’hypersensibilité ou d’exacerbation des susceptibilités, objectivement parlant, même si les comportements décrits ne sont pas exemplaires. L’appelante n’a par ailleurs pas fourni de certificat médical, par exemple, ou toute autre indication, d’où il ressortirait qu’elle aurait été atteinte dans sa santé ou aurait tout particulièrement souffert de la situation, avec une intensité qui atteindrait celle exigée pour reconnaître une violation des droits de la personnalité et permettrait d’envisager une indemnisation. Elle fonde bien plus la prémisse du tort moral sur le fait qu’elle aurait été discriminée, ce qui, comme on l’a vu, n’était pas le cas. Il ne saurait donc y avoir indemnisation d’un éventuel tort moral suite à une violation de l’article 328 CO . 6. À mesure qu’aucune violation de l’article 328 CO ne peut être retenue à l’encontre de l’employeuse, on doit retenir que le choix de Y.________ de quitter son emploi chez X.________ lui incombait et que l’employeuse ne saurait être tenue pour responsable de la réduction des indemnités que l’assurance-chômage lui a fait subir, en raison de la faute grave qu’elle lui imputait. L’appel n’est du reste pas motivé spécifiquement sur cette question. 7. Vu ce qui précède, l’appel doit être rejeté, sans frais (art. 114 let. c CPC). L’intimée a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