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CACIV.2022.19 vom 3. Mai 2022</w:t>
      </w:r>
    </w:p>
    <w:p>
      <w:r>
        <w:t>NE Tribunal cantonal, 2022-05-03, FR</w:t>
      </w:r>
    </w:p>
    <w:p>
      <w:r>
        <w:rPr>
          <w:b/>
        </w:rPr>
        <w:t xml:space="preserve">Quelle: </w:t>
      </w:r>
      <w:r>
        <w:t>https://mcp.opencaselaw.ch/entscheid/ne_gerichte_CACIV.2022.19</w:t>
      </w:r>
    </w:p>
    <w:p>
      <w:r>
        <w:t>FR: NE_GERICHTE CACIV.2022.19 du 3 mai 2022</w:t>
      </w:r>
    </w:p>
    <w:p>
      <w:r>
        <w:t>IT: NE_GERICHTE CACIV.2022.19 del 3 maggio 2022</w:t>
      </w:r>
    </w:p>
    <w:p>
      <w:pPr>
        <w:pStyle w:val="Heading2"/>
      </w:pPr>
      <w:r>
        <w:t>Erwägungen</w:t>
      </w:r>
    </w:p>
    <w:p>
      <w:r>
        <w:rPr>
          <w:b/>
        </w:rPr>
        <w:t>E. 1</w:t>
      </w:r>
    </w:p>
    <w:p>
      <w:r>
        <w:t>Interjeté dans les formes et délai légaux, l’appel est recevable (art. 308-311 et 314 CPC), sous une réserve. En effet, la conclusion no 7 de l’appel, relative au sort des frais de première instance, « à supposer que le jugement de première instance soit confirmé », ne fait l’objet d’aucune motivation dans l’appel et est partant irrecevable (art. 311 al. 1 CPC). Ce n’est que dans la réplique qu’on trouve pour la première fois une motivation sur ce point. Or le droit inconditionnel de réplique ne saurait pallier le défaut de motivation de l’appel, sous peine d’éluder les règles sur le délai d’appel. Par surabondance, il y a une contradiction entre le chiffre 5 du dispositif querellé et la motivation y relative, soit le considérant 24 de la décision querellée. L’appelante aurait pu obtenir la modification du dispositif par une demande en rectification – motivée – à l’autorité inférieure ; un appel sur ce point n’était pas nécessaire.</w:t>
      </w:r>
    </w:p>
    <w:p>
      <w:r>
        <w:rPr>
          <w:b/>
        </w:rPr>
        <w:t>E. 2</w:t>
      </w:r>
    </w:p>
    <w:p>
      <w:r>
        <w:t>En tant que l’appel porte sur la question de l’entretien d’enfants mineurs, la maxime d’office et la maxime inquisitoire s’appliquent. Selon la première, le juge n’est pas lié par les conclusions des parties (art. 296 al. 3 CPC). La seconde (art. 296 al. 1 CPC) fait obligation au juge de rechercher lui-même les faits pertinents et de les établir, en lieu et place des parties ( Jeandin , Précis de procédure civile, n. 30 s.).</w:t>
      </w:r>
    </w:p>
    <w:p>
      <w:r>
        <w:rPr>
          <w:b/>
        </w:rPr>
        <w:t>E. 3</w:t>
      </w:r>
    </w:p>
    <w:p>
      <w:r>
        <w:t>a) Une fois que des mesures protectrices de l'union conjugale ont été ordonnées, elles ne peuvent être modifiées qu'aux conditions de l'article 179 CC . Aux termes de l'article 179 al. 1 1 ère phrase CC , le juge prononce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 la survenance d’une modification essentielle et durable dans la situation familiale s’apprécie à la date du dépôt de la demande de modification ; l e caractère notable de la modification alléguée se détermine in concreto , en fonction de chaque cas particulier, en comparant les situations avant et après le changement de circonstances ; pour fonder leur requête en modification, les parties ne peuvent pas invoquer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 la maxime inquisitoire ne dispense pas les parties de collaborer à l'établissement des faits ( ATF 137 III 604 cons. 4.1.1 ; 120 II 285 cons. 4b ; arrêts du TF du 15.06.2016 [5A_745 et 755/2015] cons. 4.1.1, du 08.02.2016 [5A_732/2015] cons. 2, du 01.04.2015 [5A_138/2015] cons. 3.1 et les références citées dans ces arrêts). b) L 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 ATF 138 III 289 cons. 11.1.1 ; 137 III 604 cons. 4.1.2 ; arrêt du TF du 26.05.2015 [5A_937/2014] cons. 3.1). Dans le cadre de l’unification des méthodes de calcul des contributions d’entretien en Suisse, le Tribunal fédéral a imposé l’application de la méthode du minimum vital avec répartition de l’excédent (« zweistufig-konkrete Methode », « zweistufige Methode mit Überschussverteilung »), y compris pour le calcul de l’entretien entre ex-époux ( ATF 147 III 293 cons. 4.5).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 ATF 147 III 265 cons. 7). c) L’obligation d’entretien trouve sa limite dans la capacité contributive du débirentier, en ce sens que le minimum vital de celui-ci doit être préservé ( ATF 141 III 401 cons. 4.1, 140 III 337 cons. 4.3). Il convient donc d’examiner les ressources de chaque parent. En principe, l'entretien doit être couvert par le revenu courant, soit les revenus du travail et de la fortune ; ce n’est qu’à titre exceptionnel qu’il est possible de recourir à la substance de la fortune si les moyens ne suffisent pas autrement à couvrir l'entretien ( ATF 147 III 393 cons. 6.1.1 et les réf. citées). Toutes les circonstances du cas d'espèce doivent être prises en compte pour déterminer si et dans quelle mesure on peut raisonnablement exiger du crédirentier la substance même de sa fortune soit entamée pour pourvoir à l'entretien courant. Ces circonstances comprennent l'importance du patrimoine à attaquer, la fonction et la composition de celui-ci, ainsi que l'ampleur de la consommation du patrimoine, tant en termes de volume que de durée, mais aussi le comportement qui a conduit à la réduction de la capacité d'entretien propre. Ainsi, par exemple, un débiteur d'aliments qui a perdu son emploi bien rémunéré en raison d'infractions contre le patrimoine et qui, par conséquent, a provoqué par sa propre faute l'impossibilité de contribuer à l'entretien de sa famille dans le cadre antérieur, peut être tenu de consommer son patrimoine même si les critères pertinents ne sont pas remplis en soi. Au regard du principe d'égalité de traitement entre les époux, il n'est pas admissible d'exiger d'un époux qu'il s'attaque à son patrimoine si l'autre ne l'exige pas également, à moins qu'il n'ait pas de patrimoine ( ATF 147 III 393 cons. 6.1.2 et les réf. citées). Les biens liquides ou relativement faciles à liquider entrent en premier lieu en ligne de compte ; la fortune difficilement liquidable ou immobilisée dans le logement familial ne doit par contre en principe pas être prise en compte. Le fait qu'il s'agisse de biens propres ou d'acquêts ne joue aucun rôle ( ATF 147 III 393 cons. 6.1.3 et les arrêts cités). Les autres critères d'évaluation sont interdépendants et revêtent une importance variable selon les circonstances concrètes du cas d'espèce. Ainsi, l'importance de la fortune a une influence, d'une part, sur le montant de la consommation raisonnable de la fortune et, d'autre part, sur le montant de l'entretien à couvrir. S'il existe une véritable situation de manque et qu'il s'agit de couvrir le minimum vital du droit des poursuites (besoins de base), il est possible de recourir à la substance de la fortune, même si les économies ne sont pas particulièrement importantes ( ATF 147 III 393 cons. 6.1.6 et les réf. citées). Il faut également mettre en relation l'importance de la fortune et le montant de la consommation de fortune exigée avec la durée (probable) de cette dernière : plus la durée de la consommation du patrimoine est courte, plus la contribution mensuelle à prélever sur le patrimoine peut être élevée. Le cas échéant, il est également possible de puiser une fois dans la fortune, notamment pour compenser des contributions d'entretien dues dans le passé mais restées impayées. La jurisprudence ne fournit pas de directives générales pour le calcul du montant de la consommation (raisonnable) de la fortune ; ce n'est que lorsqu'il s'agit d'époux d'un âge avancé qui se trouvent dans une situation d'indigence que le Tribunal fédéral a considéré qu'il était admissible d'exiger – sur le modèle des prestations complémentaires de l'AVS/AI – qu'un dixième de la fortune nette dépassant une certaine limite soit consommé chaque année ( ATF 147 III 393 cons. 6.1.6 et les réf. citées).</w:t>
      </w:r>
    </w:p>
    <w:p>
      <w:r>
        <w:rPr>
          <w:b/>
        </w:rPr>
        <w:t>E. 4</w:t>
      </w:r>
    </w:p>
    <w:p>
      <w:r>
        <w:t>Au stade de l’appel, l’épouse ne prétend pas que la détention de l’intimé ne constituerait pas un changement de circonstances essentiel et durable, au sens de la jurisprudence citée plus haut (cons. 2/a). Elle qualifie la décision querellée d’« injuste », pour plusieurs raisons. Premièrement, la condamnation pénale de l’intimé fait suite à des violences sexuelles commises au préjudice de l’appelante, si bien que la décision querellée revient à faire profiter du crime à son auteur. Deuxièmement, l’employeur de l’intimé avait, « pour des raisons obscures », continué de payer la pension alimentaire que l'intimé devait pour un enfant issu d'une première union, ce qui créait une inégalité de traitement inadmissible vis-à-vis de A.________ et B.________. Troisièmement, lorsqu'il a reçu son salaire au mois de décembre 2020, l'intimé « disposait d'un avoir de CHF 7'173.09 », qui lui aurait permis de payer les pensions alimentaires pendant 9 mois, mais qu’il a préféré utiliser pour « payer d'autres choses » ; de même, il n’a pas utilisé le produit de la vente de son véhicule pour payer les pensions alimentaires et n’a entrepris aucune démarche pour vendre ou hypothéquer la maison et le terrain dont il est propriétaire au Portugal afin de pouvoir s’acquitter des contributions d’entretien. Quatrièmement, l’intimé a préféré mettre à contribution sa famille pour assurer sa défense pénale, plutôt que de la mettre à contribution pour tenter d'aider l'appelante, respectivement les deux enfants de cette dernière.</w:t>
      </w:r>
    </w:p>
    <w:p>
      <w:r>
        <w:rPr>
          <w:b/>
        </w:rPr>
        <w:t>E. 4.1</w:t>
      </w:r>
    </w:p>
    <w:p>
      <w:r>
        <w:t>D’emblée, l’appelante n’oppose aucun argument au raisonnement du premier juge selon lequel il n’avait pas été rendu vraisemblable que l’intimé serait propriétaire d’un véhicule et d’un terrain au Portugal, si bien que les griefs exposés aux chiffres 13 et 14 de l’appel tombent à faux, faute de motivation (cf. art. 311 al. 1 CPP).</w:t>
      </w:r>
    </w:p>
    <w:p>
      <w:r>
        <w:rPr>
          <w:b/>
        </w:rPr>
        <w:t>E. 4.2</w:t>
      </w:r>
    </w:p>
    <w:p>
      <w:r>
        <w:t>L’adage selon lequel le crime ne doit pas payer se rapporte ensuite au produit direct des infractions pénales ayant pour but un enrichissement de l’auteur. Il trouve sa concrétisation aux articles 70 et 71 CP, qui prévoient l’obligation pour l’État de confisquer les produits directs des infractions pénales et leurs remplois, respectivement de condamner l’auteur au paiement d’une créance compensatrice, lorsque ce produit ne peut pas être saisi. N’ayant aucun rapport avec la question en cause ici, soit celle de la mesure dans laquelle la fortune du crédirentier doit être mise à contribution pour servir les contributions d’entretien, ce principe n’est d’aucun secours à l’appelante.</w:t>
      </w:r>
    </w:p>
    <w:p>
      <w:r>
        <w:rPr>
          <w:b/>
        </w:rPr>
        <w:t>E. 4.3</w:t>
      </w:r>
    </w:p>
    <w:p>
      <w:r>
        <w:t>L’appelante ne saurait ensuite exiger d’un tiers (soit l’ancien employeur de l’intimé) qu’il serve à A.________ et à B.________ les mêmes prestations que celles fournies à l’enfant de l’intimé né d’une première union. D’abord parce que ce tiers n’est pas partie à la procédure. Ensuite parce qu’aucun avis au débiteur n’a été prononcé en faveur de A.________ et B.________. Enfin parce que l’appelante met elle-même en doute le bien-fondé des prestations servies à l’enfant de l’intimé né d’une première union, prestations qu’elle se dispense par ailleurs de décrire avec précision, puisqu’on ne comprend pas, à la lecture de l’appel, quelle est la période concernée par les versements qui auraient désavantagé A.________ et B.________.</w:t>
      </w:r>
    </w:p>
    <w:p>
      <w:r>
        <w:rPr>
          <w:b/>
        </w:rPr>
        <w:t>E. 4.4</w:t>
      </w:r>
    </w:p>
    <w:p>
      <w:r>
        <w:t>L’argument relatif à l’aide financière que l’intimé aurait reçue de sa famille pour faire face à ses frais de défense dans la procédure pénale dirigée contre lui n’est pas pertinent. En effet, les membres de la famille de l’intimé n’ont aucune obligation vis-à-vis de A.________ et B.________, si bien qu’ils sont libres de rémunérer l’avocat qui défend les intérêts de l’intimé au pénal, sans être débiteurs de créances prioritaires dont A.________ et B.________ seraient titulaires.</w:t>
      </w:r>
    </w:p>
    <w:p>
      <w:r>
        <w:rPr>
          <w:b/>
        </w:rPr>
        <w:t>E. 4.5</w:t>
      </w:r>
    </w:p>
    <w:p>
      <w:r>
        <w:t>Que l’intimé ait dépensé une partie de sa fortune pour « payer d'autres choses » que les contributions d’entretien en faveur de A.________ et B.________ n’est pas davantage pertinent. En effet, selon la jurisprudence, la réflexion relative à l’éventuelle mise à contribution de la fortune du débiteur d’entretien doit se faire à partir de la fortune effective dudit débiteur, et non d’une fortune hypothétique. En tout état de cause, le grief n’est de toute manière pas suffisamment motivé, puisque l’appelant ne précise pas quelles dépenses ont été faites, à quel moment et dans quel but. L’argument aurait pu avoir une portée s’il avait fallu examiner la priorité des créances, du point de vue du droit des poursuites, mais ce n’est pas d’une telle procédure qu’il s’agit ici.</w:t>
      </w:r>
    </w:p>
    <w:p>
      <w:r>
        <w:rPr>
          <w:b/>
        </w:rPr>
        <w:t>E. 4.6</w:t>
      </w:r>
    </w:p>
    <w:p>
      <w:r>
        <w:t>Dans sa réplique, l’appelante fait valoir que l’intimé dispose encore « du pécule qu’il a pu accumuler durant sa détention ». Non seulement ce fait est allégué tardivement, mais le pécule en question n’est pas chiffré et son existence n’est pas prouvée.</w:t>
      </w:r>
    </w:p>
    <w:p>
      <w:r>
        <w:rPr>
          <w:b/>
        </w:rPr>
        <w:t>E. 4.7</w:t>
      </w:r>
    </w:p>
    <w:p>
      <w:r>
        <w:t>Vu ce qui précède, les griefs de l’appelante sont mal-fondés, en tant qu’ils sont étrangers aux critères dégagés par la jurisprudence pour résoudre la question litigieuse. Ces considérations suffisent à rejeter l’appel.</w:t>
      </w:r>
    </w:p>
    <w:p>
      <w:r>
        <w:rPr>
          <w:b/>
        </w:rPr>
        <w:t>E. 4.8</w:t>
      </w:r>
    </w:p>
    <w:p>
      <w:r>
        <w:t>Par surabondance, la décision querellée ne prête pas le flanc à la critique, à l’aune des critères dégagés par la jurisprudence. a) En effet, il ressort des constatations – non contestées valablement en appel – du premier juge que la fortune mobilière de l’intimé s’élevait à 5'081.14 francs au 31 mars 2021, d’une part, et que les dernières contributions d’entretien versées par l’intimé à A.________ et B.________ l’ont été en novembre 2020, d’autre part. Après paiement des contributions d’entretien dues à A.________ et B.________ selon la décision querellée (soit 800 francs en décembre 2020), la fortune de l’intimé présente un solde de 4'281.14 francs. Autrement dit, le premier juge a décidé que l’intimé devait entamer la substance de sa fortune à hauteur de 15 % pour payer les contributions d’entretien dues à A.________ et B.________. b) L’importance du patrimoine à entamer doit être qualifiée de faible, en ce sens que des liquidités par 5'081.14 francs représentent objectivement un montant bas, ce d’autant plus s’agissant des seules économies connues d’un homme âgé de bientôt 50 ans. c) Le jugement du Tribunal criminel du 22 septembre 2021 faisant l’objet d’un appel actuellement pendant, l’intimé bénéficie de la présomption d’innocence ; on ne peut donc pas retenir que le comportement ayant conduit à la réduction de la capacité contributive de l’intimé soit imputable à une faute de ce dernier. d) S’agissant du principe d'égalité de traitement entre les époux, il n'est pas établi – ni même allégué – que l’appelante ne disposerait d’aucune fortune. À l’appui de sa demande d’assistance judiciaire en première instance, l’appelante n’a évoqué que ses revenus et aucunement sa fortune. Elle n’a pas déposé le formulaire d’assistance judiciaire en usage dans le canton de Neuchâtel, dûment rempli, et n’a déposé aucune pièce permettant de connaître l’état de sa fortune (on songe par exemple à la documentation bancaire, aux dernières décisions de taxation fiscale, à la dernière déclaration d’impôt, aux permis de circulation des véhicules, documents mentionnés comme devant être joints à la demande en page 7 dudit formulaire). Il n’est pas non plus établi – ni allégué – qu’elle émargerait à l’aide sociale. e) Dans ces conditions, la décision querellée reste dans les limites de la marge d’appréciation du premier juge.</w:t>
      </w:r>
    </w:p>
    <w:p>
      <w:r>
        <w:rPr>
          <w:b/>
        </w:rPr>
        <w:t>E. 5</w:t>
      </w:r>
    </w:p>
    <w:p>
      <w:r>
        <w:t>L’appelante demande à être mise au bénéfice de l’assistance judiciaire, ce qui suppose qu’elle ne dispose pas de ressources suffisantes, d’une part, et que sa cause ne paraisse pas dépourvue de toute chance de succès, d’autre part (art. 117 CPP). En l’espèce, la première condition n’est pas réalisée, pour les motifs mentionnés au considérant 4.8/d ci-dessus, étant précisé que l’appelante, bien que représentée par un avocat, n’a fourni aucune information et aucune pièce supplémentaire à l’appui de sa demande d’assistance judiciaire au stade de l’appel, en violation de l’article 119 al. 5 CPC, circonstance qui suffit au rejet de ladite demande. Par surabondance, en première instance, l’appelante, bien que représenté par un avocat, n’a pas davantage fourni les informations et pièces propres à donner une vision complète de sa situation financière, si bien que ce qui est dit au considérant 6 ci-dessous s’applique aussi à elle.</w:t>
      </w:r>
    </w:p>
    <w:p>
      <w:r>
        <w:rPr>
          <w:b/>
        </w:rPr>
        <w:t>E. 6</w:t>
      </w:r>
    </w:p>
    <w:p>
      <w:r>
        <w:t>L’intimé demande lui aussi à être mis au bénéfice de l’assistance judiciaire, mais il ne se conforme pas davantage aux exigences de l’article de l’article 119 al. 5 CPC, ce qui suffit à rejeter sa demande. Par surabondance, en première instance, l’intimé, bien que représenté par un avocat, n’a fourni aucune information et aucune pièce propre à donner une vision complète de sa situation financière, si bien que l’ordonnance d’assistance judiciaire du 22 février 2021 peut d’autant moins lier la Cour de céans. Dans le cadre de la demande d’assistance judiciaire, c’est en effet au requérant qu’incombe le fardeau d’établir son indigence au jour du dépôt de la requête, en fournissant les renseignements suffisants (avec pièces à l'appui) pour permettre d'avoir une vision complète de sa situation financière. Faute pour lui de l’avoir fait (en déposant notamment le formulaire d’assistance judicaire et les annexes utiles [v. supra cons. 4.8/d]) et à mesure qu’il est représenté par un avocat, sa requête aurait déjà dû être rejetée en première instance ( ATF 120 Ia 179 cons. 3 [trad. JdT 1995 I 283] ; arrêts du TF du 18.07.2019 [1C_232/2019] cons. 2.1 ; du 23.11.2017 [1B_383/2017] cons. 3). La circonstance qu’il est détenu ne le dispensait pas de documenter sa requête.</w:t>
      </w:r>
    </w:p>
    <w:p>
      <w:r>
        <w:rPr>
          <w:b/>
        </w:rPr>
        <w:t>E. 7</w:t>
      </w:r>
    </w:p>
    <w:p>
      <w:r>
        <w:t>Les frais de la procédure d’appel, exceptionnellement arrêtés au-dessous du montant minimal de 600 francs (art. 17 et 34 LTfrais [RS 164.1]), doivent être mis à la charge de l’appelante, qui succombe (art. 106 al. 1 CPC). L’appelante doit en outre être condamnée à verser une indemnité de dépens à l’intimé. Elle ne critique pas le mémoire d’honoraires de l’intimé, si bien que les 270 minutes d’activité alléguées (contre 330 minutes pour l’appelante) seront admises et indemnisées au tarif horaire usuel de 275 francs, soit des honoraires de 1'237.50 francs. Après ajout de l’indemnité forfaitaire pour les frais par 123 francs (cf. art. 63 LTfrais ) et de la TVA, on obtient un total arrondi à 1'465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