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CACIV.2021.1 vom 18. Mai 2021</w:t>
      </w:r>
    </w:p>
    <w:p>
      <w:r>
        <w:t>NE Tribunal cantonal, 2021-05-18, FR</w:t>
      </w:r>
    </w:p>
    <w:p>
      <w:r>
        <w:rPr>
          <w:b/>
        </w:rPr>
        <w:t xml:space="preserve">Quelle: </w:t>
      </w:r>
      <w:r>
        <w:t>https://mcp.opencaselaw.ch/entscheid/ne_gerichte_CACIV.2021.1</w:t>
      </w:r>
    </w:p>
    <w:p>
      <w:r>
        <w:t>FR: NE_GERICHTE CACIV.2021.1 du 18 mai 2021</w:t>
      </w:r>
    </w:p>
    <w:p>
      <w:r>
        <w:t>IT: NE_GERICHTE CACIV.2021.1 del 18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répartition des tâches pendant le mariage;</w:t>
      </w:r>
    </w:p>
    <w:p>
      <w:r>
        <w:rPr>
          <w:b/>
        </w:rPr>
        <w:t>E. 2</w:t>
      </w:r>
    </w:p>
    <w:p>
      <w:r>
        <w:t>la durée du mariage;</w:t>
      </w:r>
    </w:p>
    <w:p>
      <w:r>
        <w:rPr>
          <w:b/>
        </w:rPr>
        <w:t>E. 3</w:t>
      </w:r>
    </w:p>
    <w:p>
      <w:r>
        <w:t>le niveau de vie des époux pendant le mariage;</w:t>
      </w:r>
    </w:p>
    <w:p>
      <w:r>
        <w:rPr>
          <w:b/>
        </w:rPr>
        <w:t>E. 4</w:t>
      </w:r>
    </w:p>
    <w:p>
      <w:r>
        <w:t>lâge et létat de santé des époux;</w:t>
      </w:r>
    </w:p>
    <w:p>
      <w:r>
        <w:rPr>
          <w:b/>
        </w:rPr>
        <w:t>E. 5</w:t>
      </w:r>
    </w:p>
    <w:p>
      <w:r>
        <w:t>les revenus et la fortune des époux;</w:t>
      </w:r>
    </w:p>
    <w:p>
      <w:r>
        <w:rPr>
          <w:b/>
        </w:rPr>
        <w:t>E. 6</w:t>
      </w:r>
    </w:p>
    <w:p>
      <w:r>
        <w:t>lampleur et la durée de la prise en charge des enfants qui doit encore être assurée;</w:t>
      </w:r>
    </w:p>
    <w:p>
      <w:r>
        <w:rPr>
          <w:b/>
        </w:rPr>
        <w:t>E. 7</w:t>
      </w:r>
    </w:p>
    <w:p>
      <w:r>
        <w:t>la formation professionnelle et les perspectives de gain des époux, ainsi que le coût probable de linsertion professionnelle du bénéficiaire de lentretien;</w:t>
      </w:r>
    </w:p>
    <w:p>
      <w:r>
        <w:rPr>
          <w:b/>
        </w:rPr>
        <w:t>E. 8</w:t>
      </w:r>
    </w:p>
    <w:p>
      <w:r>
        <w:t>les expectatives de lassurance-vieillesse et survivants et de la prévoyance professionnelle ou dautres formes de prévoyance privée ou publique, y compris le résultat prévisible du partage des prestations de sortie.</w:t>
      </w:r>
    </w:p>
    <w:p>
      <w:r>
        <w:t>3Lallocation dune contribution peut exceptionnellement être refusée en tout ou en partie lorsquelle savère manifestement inéquitable, en particulier parce que le créancier:</w:t>
      </w:r>
    </w:p>
    <w:p>
      <w:r>
        <w:t>1. a gravement violé son obligation dentretien de la famille;</w:t>
      </w:r>
    </w:p>
    <w:p>
      <w:r>
        <w:t>2. a délibérément provoqué la situation de nécessité dans laquelle il se trouve;</w:t>
      </w:r>
    </w:p>
    <w:p>
      <w:r>
        <w:t>3. a commis une infraction pénale grave contre le débiteur ou un de ses proches.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