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CACIV.2020.35 vom 1. September 2020</w:t>
      </w:r>
    </w:p>
    <w:p>
      <w:r>
        <w:t>NE Tribunal cantonal, 2020-09-01, FR</w:t>
      </w:r>
    </w:p>
    <w:p>
      <w:r>
        <w:rPr>
          <w:b/>
        </w:rPr>
        <w:t xml:space="preserve">Quelle: </w:t>
      </w:r>
      <w:r>
        <w:t>https://mcp.opencaselaw.ch/entscheid/ne_gerichte_CACIV.2020.35</w:t>
      </w:r>
    </w:p>
    <w:p>
      <w:r>
        <w:t>FR: NE_GERICHTE CACIV.2020.35 du 1 septembre 2020</w:t>
      </w:r>
    </w:p>
    <w:p>
      <w:r>
        <w:t>IT: NE_GERICHTE CACIV.2020.35 del 1 settembre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LTFrais). Il paraît équitable de larrêter à 2'000 francs.</w:t>
      </w:r>
    </w:p>
    <w:p>
      <w:r>
        <w:t>Par ces motifs,LA COUR D'APPEL CIVILE</w:t>
      </w:r>
    </w:p>
    <w:p>
      <w:r>
        <w:t>1.Rejette lappel, dans la mesure de sa recevabilité, et confirme la décision entreprise.</w:t>
      </w:r>
    </w:p>
    <w:p>
      <w:r>
        <w:t>2.Arrête les frais judiciaires de la procédure dappel à 3000 francs et les met à la charge de X.________, qui les a avancés.</w:t>
      </w:r>
    </w:p>
    <w:p>
      <w:r>
        <w:t>3.Condamne X.________ à verser à Y.________, pour la procédure dappel, une indemnité de dépens de 2000 francs.</w:t>
      </w:r>
    </w:p>
    <w:p>
      <w:r>
        <w:t>Neuchâtel, le 1erseptembre 2020</w:t>
      </w:r>
    </w:p>
    <w:p>
      <w:r>
        <w:t>1Mari et femme contribuent, chacun selon ses facultés, à lentretien convenable de la famille.</w:t>
      </w:r>
    </w:p>
    <w:p>
      <w:r>
        <w:t>2Ils conviennent de la façon dont chacun apporte sa contribution, notamment par des prestations en argent, son travail au foyer, les soins quil voue aux enfants ou laide quil prête à son conjoint dans sa profession ou son entreprise.</w:t>
      </w:r>
    </w:p>
    <w:p>
      <w:r>
        <w:t>3Ce faisant, ils tiennent compte des besoins de lunion conjugale et de leur situation personnelle.</w:t>
      </w:r>
    </w:p>
    <w:p>
      <w:r>
        <w:t>1Lentretien est assuré par les soins, léducation et des prestations pécuniaires.3</w:t>
      </w:r>
    </w:p>
    <w:p>
      <w:r>
        <w:t>2Les père et mère contribuent ensemble, chacun selon ses facultés, à lentretien convenable de lenfant et assument en particulier les frais de sa prise en charge, de son éducation, de sa formation et des mesures prises pour le protéger.4</w:t>
      </w:r>
    </w:p>
    <w:p>
      <w:r>
        <w:t>3Les père et mère sont déliés de leur obligation dentretien dans la mesure où lon peut attendre de lenfant quil subvienne à son entretien par le produit de son travail ou par ses autres ressources.</w:t>
      </w:r>
    </w:p>
    <w:p>
      <w:r>
        <w:t>1Nouvelle teneur selon le ch. I 1 de la LF du 25 juin 1976, en vigueur depuis le 1erjanv. 1978 (RO1977237; FF1974II 1).2Nouvelle teneur selon le ch. I de la LF du 20 mars 2015 (Entretien de lenfant), en vigueur depuis le 1erjanv. 2017 (RO20154299;FF2014511).3Nouvelle teneur selon le ch. I de la LF du 20 mars 2015 (Entretien de lenfant), en vigueur depuis le 1erjanv. 2017 (RO20154299;FF2014511).4Nouvelle teneur selon le ch. I de la LF du 20 mars 2015 (Entretien de lenfant), en vigueur depuis le 1erjanv. 2017 (RO20154299;FF2014511).</w:t>
      </w:r>
    </w:p>
    <w:p>
      <w:r>
        <w:t>Sous réserve des art. 272 et 273, la procédure sommaire sapplique aux mesures protectrices de lunion conjugale, notamment:</w:t>
      </w:r>
    </w:p>
    <w:p>
      <w:r>
        <w:t>a.aux mesures prévues aux art. 172 à 179 CC1;</w:t>
      </w:r>
    </w:p>
    <w:p>
      <w:r>
        <w:t>b.à lextension de la faculté dun époux de représenter lunion conjugale (art. 166, al. 2, ch. 1, CC);</w:t>
      </w:r>
    </w:p>
    <w:p>
      <w:r>
        <w:t>c.à loctroi à un époux du pouvoir de disposer du logement familial (art. 169, al. 2, CC);</w:t>
      </w:r>
    </w:p>
    <w:p>
      <w:r>
        <w:t>d.à linjonction adressée à lun des conjoints de renseigner lautre sur ses revenus, ses biens et ses dettes (art. 170, al. 2, CC);</w:t>
      </w:r>
    </w:p>
    <w:p>
      <w:r>
        <w:t>e.au prononcé de la séparation de biens et au rétablissement du régime antérieur (art. 185, 187, al. 2, 189 et 191 CC);</w:t>
      </w:r>
    </w:p>
    <w:p>
      <w:r>
        <w:t>f.à lobligation des époux de collaborer à létablissement dun inventaire (art. 195aCC);</w:t>
      </w:r>
    </w:p>
    <w:p>
      <w:r>
        <w:t>g.à la fixation de délais de paiement et à la fourniture de sûretés entre les époux hors procès concernant le régime matrimonial (art. 203, al. 2, 218, 235, al. 2 et 250, al. 2, CC);</w:t>
      </w:r>
    </w:p>
    <w:p>
      <w:r>
        <w:t>h.au consentement dun époux à la répudiation ou à lacceptation dune succession (art. 230, al. 2, CC);</w:t>
      </w:r>
    </w:p>
    <w:p>
      <w:r>
        <w:t>i.à lavis aux débiteurs et la fourniture de sûretés en garantie des contributions dentretien après le divorce, hors procès (art. 132 CC).</w:t>
      </w:r>
    </w:p>
    <w:p>
      <w:r>
        <w:t>1RS210</w:t>
      </w:r>
    </w:p>
    <w:p>
      <w:r>
        <w:t>Le tribunal établit les faits doffice.</w:t>
      </w:r>
    </w:p>
    <w:p>
      <w:r>
        <w:t>1Le tribunal ordonne les mesures provisionnelles nécessaires. Les dispositions régissant la protection de lunion conjugale sont applicables par analogie.</w:t>
      </w:r>
    </w:p>
    <w:p>
      <w:r>
        <w:t>2Les mesures ordonnées par le tribunal des mesures protectrices de lunion conjugale sont maintenues. Le tribunal du divorce est compétent pour prononcer leur modification ou leur révocation.</w:t>
      </w:r>
    </w:p>
    <w:p>
      <w:r>
        <w:t>3Le tribunal peut ordonner des mesures provisionnelles après la dissolution du mariage, tant que la procédure relative aux effets du divorce nest pas close.</w:t>
      </w:r>
    </w:p>
    <w:p>
      <w:r>
        <w:rPr>
          <w:b/>
        </w:rPr>
        <w:t>E. 11</w:t>
      </w:r>
    </w:p>
    <w:p>
      <w:r>
        <w:t>Ni l’appelant, ni l’intimée ne contestent les autres facteurs pris en considération par le Tribunal civil pour la fixation de la contribution d’entretien due à l’épouse, ni les méthodes de calcul appliquées par le premier juge. Il n’y a donc pas lieu de les examiner et il faut conclure que les contributions d’entretien fixées par la décision entreprise sont conformes au droit.</w:t>
      </w:r>
    </w:p>
    <w:p>
      <w:r>
        <w:rPr>
          <w:b/>
        </w:rPr>
        <w:t>E. 12</w:t>
      </w:r>
    </w:p>
    <w:p>
      <w:r>
        <w:t>a) Vu ce qui précède, l’appel doit être rejeté, dans la mesure de sa recevabilité. Il n’y a pas lieu de se prononcer sur les frais judiciaires et dépens de première instance, puisque la décision du Tribunal civil prévoit que ceux-ci suivront le sort de la cause au fond (ch. 3 du dispositif). L’appelant assumera les frais judiciaires de la procédure d’appel, car il n’obtient pas gain de cause (art. 106 CPC). Il versera à l’intimée, pour la même procédure, une indemnité de dépens. À défaut de dépôt d’un mémoire d’honoraires par l’intimée, cette indemnité sera fixée sur la base du dossier, dans le cadre du tarif (art. 95 al. 1 et 105 al. 2 CPC ; art. 60 et 64 al. 2 LTFrais). Il paraît équitable de l’arrêter à 2'000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