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CACIV.2019.37 vom 29. Mai 2019</w:t>
      </w:r>
    </w:p>
    <w:p>
      <w:r>
        <w:t>NE Tribunal cantonal, 2019-05-29, FR</w:t>
      </w:r>
    </w:p>
    <w:p>
      <w:r>
        <w:rPr>
          <w:b/>
        </w:rPr>
        <w:t xml:space="preserve">Quelle: </w:t>
      </w:r>
      <w:r>
        <w:t>https://mcp.opencaselaw.ch/entscheid/ne_gerichte_CACIV.2019.37</w:t>
      </w:r>
    </w:p>
    <w:p>
      <w:r>
        <w:t>FR: NE_GERICHTE CACIV.2019.37 du 29 mai 2019</w:t>
      </w:r>
    </w:p>
    <w:p>
      <w:r>
        <w:t>IT: NE_GERICHTE CACIV.2019.37 del 29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requête d'un époux, le juge ordonne les modifications commandées par les faits nouveaux et lève les mesures prises lorsque les causes qui les ont déterminées n'existent plus. Les dispositions relatives à la modification des droits et devoirs parentaux en cas de divorce sont applicables par analogie.</w:t>
      </w:r>
    </w:p>
    <w:p>
      <w:r>
        <w:rPr>
          <w:b/>
        </w:rPr>
        <w:t>E. 2</w:t>
      </w:r>
    </w:p>
    <w:p>
      <w:r>
        <w:t>Nouvelle teneur selon le ch. I de la LF du 21 juin 2013 (Autorité parentale), en vigueur depuis le 1 er juil. 2014 ( RO 2014 357 ; FF 2011 8315 ).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