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CACIV.2019.20 vom 20. Mai 2019</w:t>
      </w:r>
    </w:p>
    <w:p>
      <w:r>
        <w:t>NE Tribunal cantonal, 2019-05-20, FR</w:t>
      </w:r>
    </w:p>
    <w:p>
      <w:r>
        <w:rPr>
          <w:b/>
        </w:rPr>
        <w:t xml:space="preserve">Quelle: </w:t>
      </w:r>
      <w:r>
        <w:t>https://mcp.opencaselaw.ch/entscheid/ne_gerichte_CACIV.2019.20</w:t>
      </w:r>
    </w:p>
    <w:p>
      <w:r>
        <w:t>FR: NE_GERICHTE CACIV.2019.20 du 20 mai 2019</w:t>
      </w:r>
    </w:p>
    <w:p>
      <w:r>
        <w:t>IT: NE_GERICHTE CACIV.2019.20 del 20 maggio 2019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Rejeter les autres conclusions de l’appel ;</w:t>
      </w:r>
    </w:p>
    <w:p>
      <w:r>
        <w:rPr>
          <w:b/>
        </w:rPr>
        <w:t>E. 3</w:t>
      </w:r>
    </w:p>
    <w:p>
      <w:r>
        <w:t>Vu ce qui précède, l’appel est rejeté. Les frais de la procédure d’appel par 3’000 francs, couverts par l’avance de frais déjà effectuée, sont mis à la charge de l’appelant qui succombe. Ce dernier versera en outre une indemnité de dépens à l’intimée.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