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CACIV.2018.69 vom 11. Februar 2019</w:t>
      </w:r>
    </w:p>
    <w:p>
      <w:r>
        <w:t>NE Tribunal cantonal, 2019-02-11, FR</w:t>
      </w:r>
    </w:p>
    <w:p>
      <w:r>
        <w:rPr>
          <w:b/>
        </w:rPr>
        <w:t xml:space="preserve">Quelle: </w:t>
      </w:r>
      <w:r>
        <w:t>https://mcp.opencaselaw.ch/entscheid/ne_gerichte_CACIV.2018.69</w:t>
      </w:r>
    </w:p>
    <w:p>
      <w:r>
        <w:t>FR: NE_GERICHTE CACIV.2018.69 du 11 février 2019</w:t>
      </w:r>
    </w:p>
    <w:p>
      <w:r>
        <w:t>IT: NE_GERICHTE CACIV.2018.69 del 11 febbraio 2019</w:t>
      </w:r>
    </w:p>
    <w:p>
      <w:pPr>
        <w:pStyle w:val="Heading2"/>
      </w:pPr>
      <w:r>
        <w:t>Erwägungen</w:t>
      </w:r>
    </w:p>
    <w:p>
      <w:r>
        <w:rPr>
          <w:b/>
        </w:rPr>
        <w:t>E. 13</w:t>
      </w:r>
    </w:p>
    <w:p>
      <w:r>
        <w:t>LTr (D. 50, cons. 7.6).</w:t>
      </w:r>
    </w:p>
    <w:p>
      <w:r>
        <w:t>N.X.________ forme appel le 13 août 2018 contre ce jugement, concluant à son annulation ; à ce que Y.________ soit condamnée à lui payer le montant brut de 80'831.16 francs avec intérêt à 5% lan dès le 31 mai 2013 ; subsidiairement, à ce que lintimée soit condamnée à lui payer les montants bruts de 37'500 francs avec intérêts dès le 31 décembre 2009, 25'500 francs avec intérêts dès le 31 décembre 2010 et 13'500 francs avec intérêts dès le 31 décembre 2011, le tout sous suite de frais et dépens.</w:t>
      </w:r>
    </w:p>
    <w:p>
      <w:r>
        <w:t>Dans un premier moyen, elle conteste avoir occupé au sein de Y.________ une fonction de cadre, au sens du 5e§ du chiffre 5.3 du règlement interne de  A.________ ; elle fait également valoir que le renvoi du contrat au règlement de l'entreprise  A.________ ne lui permettait pas «de savoir, de manière certaine, si elle était soumise au nom [recte : ou non] à cette clause dexclusion de toute compensation des heures supplémentaires», de sorte que cette clause ne respectait pas la forme écrite prescrite par larticle 321cCO ; de plus, ni sa hiérarchie, ni les ressources humaines de l'entreprise A.________ ne lui auraient jamais indiqué que ses heures supplémentaires ne seraient pas payées à cause de sa fonction de cadre, de sorte que lobjection serait tardive. Dans un second moyen, elle fait valoir que compte tenu du nombre dheures supplémentaires quelle avait effectuées, les parties avaient tacitement augmenté son taux de travail.</w:t>
      </w:r>
    </w:p>
    <w:p>
      <w:r>
        <w:t>O.Au terme de ses observations du 12 septembre 2018, Y.________ conclut au rejet de lappel et à ce que les frais judiciaires et dépens soient mis à la charge de lappelante.</w:t>
      </w:r>
    </w:p>
    <w:p>
      <w:r>
        <w:t>Le 18 septembre 2018, le juge instructeur a notifié la réponse à lappelante et informé les parties quil serait statué ultérieurement, sur pièces et sans débats.</w:t>
      </w:r>
    </w:p>
    <w:p>
      <w:r>
        <w:t>Dans la mesure où d'autres précisions de faits sont nécessaires au jugement de la cause, elles seront apportées dans les considérants qui suivent.</w:t>
      </w:r>
    </w:p>
    <w:p>
      <w:r>
        <w:t>C O N S I D E R A N T</w:t>
      </w:r>
    </w:p>
    <w:p>
      <w:r>
        <w:t>1.Interjeté dans les formes et délai légaux, lappel est recevable (art. 308 ss CPC), sous une réserve ci-après (cons. 3.3/c).</w:t>
      </w:r>
    </w:p>
    <w:p>
      <w:r>
        <w:t>2.Aux termes de larticle321cCO, lemployeur est tenu de rétribuer les heures de travail supplémentaires  soit celles excédant le nombre d'heures à fournir d'après le contrat  qui ne sont pas compensées par un congé en versant le salaire normal majoré d'un quart au moins, sauf clause contraire d'un accord écrit, d'un contrat‑type de travail ou d'une convention collective.</w:t>
      </w:r>
    </w:p>
    <w:p>
      <w:r>
        <w:t>Selon la jurisprudence qui s'y rapporte, les parties peuvent valablement prévoir, par écrit, que les heures supplémentaires seront rémunérées sans supplément ou ne seront pas rémunérées, «à tout le moins lorsque la rémunération des heures supplémentaires est forfaitairement comprise dans le salaire» (ATF 124 III 469cons. 3a ; arrêt du TF du02.05.2011 [4A_73/2011]cons. 4 et les arrêts cités).</w:t>
      </w:r>
    </w:p>
    <w:p>
      <w:r>
        <w:t>La doctrine admet généralement que le salaire ordinaire puisse inclure, si les parties en conviennent ainsi par écrit, une rémunération forfaitaire des heures supplémentaires non compensées, de sorte que ces heures ne donneront droit à aucun paiement spécifique (Streiff/von Kaenel, Arbeitsvertrag, 6eéd., n. 5adart. 321cCO, avec référence aux autres auteurs). Sagissant de lhypothèse  réservée par certains auteurs  où le travailleur accomplit des heures supplémentaires en nombre excédant notablement ce qui était prévisible lors de la conclusion de l'accord, de sorte que, selon les auteurs concernés, l'employeur ne peut plus s'en prévaloir pour refuser une rémunération spécifique (ibidem), le Tribunal fédéral a jugé que cette préoccupation ne faisait référence qu'à la théorie de l'imprévision à appliquer dans toute espèce de relation contractuelle,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(clausula rebus sic stantibus;ATF 127 III 300cons. 5b ;135 III 1cons. 2.4 ; arrêt du TF du02.05.2011 [4A_73/2011]cons. 4). Selon d'autres auteurs, le salaire convenu devrait être «suffisamment élevé» pour inclure une rémunération équitable des heures supplémentaires (Dunandin: Commentaire du contrat de travail, n. 44adart. 321cCO ;Wyler/Heinzer, Droit du travail, 3eéd., et les auteurs cités) ; le Tribunal fédéral na pas tranché cette question de principe, laissée ouverte dans un arrêt du02.05.2011 [4A_73/2011].</w:t>
      </w:r>
    </w:p>
    <w:p>
      <w:r>
        <w:t>3.À lappui de son premier moyen, lappelantefait valoir quelle navait reçu aucune description de fonction spécifique, ni de «contrat spécial pour cadres», alors même que de tels documents existeraient au sein de lentreprise ; quelle navait droit à aucune prestation pour cadre, «telles que participation aux primes Lamal, participation LPP, enveloppe de frais de représentation, carte de crédit de la société, voiture dentreprise, place de parc, bonus ou commission annuels», «rente-pont, retraite anticipée, indemnité de départ ou autre, comme cest généralement le cas pour les cadres dentreprises» ; quelle navait aucun pouvoir décisionnel dans la société ou sur les transactions financières  ; que son travail se limitait à des tâches de secrétariat ; que si elle disposait réellement dun poste de cadre de niveau 2, cette mention aurait dû être inscrite sur son contrat de travail ; que les cadres de niveau 2 disposaient dun cahier des charges précis, dun salaire bien plus élevé que le sien et « de nombreux avantages tels que bonus, gratifications, cartes de crédit professionnelles, frais de représentation, parking ou AG 1reclasse, cotisations LPP préférentielles, etc. ».</w:t>
      </w:r>
    </w:p>
    <w:p>
      <w:r>
        <w:t>3.1Ce faisant, elle présente une série dallégués nouveaux, lesquels nont pas à être pris en compte par la Cour de céans, faute pour lappelante dexposer les raisons pour lesquelles ces faits nouveaux ne pouvaient être invoqués devant la première instance (art. 317 al. 1 CPC). Quoi quil en soit, ces faits ne sont de toute manière pas pertinents.</w:t>
      </w:r>
    </w:p>
    <w:p>
      <w:r>
        <w:t>3.2En effet, larticle321cal. 3 COne sapplique pas quaux seuls travailleurs exerçant des fonctions de cadre. Sagissant du respect de la forme écrite, le Tribunal fédéral a déjà eu loccasion de juger que lorsque la suppression de lindemnisation résulte dun règlement dentreprise, la signature par le travailleur du contrat de travail qui renvoie de manière générale au règlement, sans mention expresse de lexistence dune règle dérogatoire relative aux heures supplémentaires, suffisait au respect de la forme écrite (arrêt du TF du07.01.2005 [4C.407/2004]cons. 3.1 ;Dunandin: Commentaire du contrat de travail, n. 42adart. 321cCO). Lobjection de lappelante quant au respect de la forme écrite est partant infondée. Elle est même téméraire, à mesure que la dernière page du règlement interne de A.________ qui figure au dossier porte la mention «Lu et approuvé», suivie de la date (3 avril 2006) et de la signature de X.________.</w:t>
      </w:r>
    </w:p>
    <w:p>
      <w:r>
        <w:t>3.3En lespèce, le 5eparagraphe du chiffre 5.3 du règlement interne de A.________ est formulé comme déjà mentionné.</w:t>
      </w:r>
    </w:p>
    <w:p>
      <w:r>
        <w:t>a) Selon l'article18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626cons. 3.1, JT 2007 I 423;ATF 125 III 305cons. 2b).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61cons. 2.2.1125 III 305cons. 2b).</w:t>
      </w:r>
    </w:p>
    <w:p>
      <w:r>
        <w:t>b) En lespèce, il ressort du dossier que les parties avaient compris de la même manière la notion de «cadre», au sens du 5eparagraphe du chiffre 5.3 du règlement interne de A.________.</w:t>
      </w:r>
    </w:p>
    <w:p>
      <w:r>
        <w:t>En effet, X.________ a déclaré lors de son interrogatoire du 27 juin 2017 quelle avait occupé «des postes de cadre et cadre supérieur () tout au long de [s]a carrière». Sagissant en particulier de son engagement au service de Y.________, elle a déclaré : «Lors de mon entretien dembauche, jai été informée dans le détail de la nature de lactivité pour laquelle jétais engagée. Y.________ venait dêtre créée et il fallait quelquun pour gérer toute ladministration. Je savais que jétais la seule employée et était directement rattachée au président du conseil dadministration. (). Dans mon esprit, il sagissait dun nouveau poste de cadre, ce que le titre de mon poste figurant sur le contrat confirmait» (idem). Dans ces conditions, X.________ ne pouvait que comprendre le 5eparagraphe du chiffre 5.3 du règlement interne de A.________ comme étant applicable à son rapport de travail. Plusieurs éléments illustrent dailleurs que tel était le cas. En effet, X.________ a déclaré quil lui avait été expliqué lors de son entretien dembauche quelle navait pas lobligation formelle dutiliserle programmeTimelead, ce qui a pour corollaire que les heures supplémentaires étaient forfaitairement incluses dans son salaire ; de même, elle a admis ne jamais avoir suivi la procédure faisant lobjet du 1erparagraphe du chiffre 5.3 durèglement interne de A.________, ce que lon ne saurait expliquer autrement que par le fait quelle comprenait queles heures supplémentaires étaient forfaitairement incluses dans son salaire. Lors de son audition,X.________ na pas dit sêtre offusquée lorsque feu H.________ ne lui avait donné «aucune confirmation ni garantie» quant au paiement de ses heures supplémentaires ressortant deTimelead, ni lorsque son successeur G.________ lui avait «répondu par la négative» à ce propos, ce qui illustre bien quelle ne pensait pas avoir un droit en ce sens. Dailleurs, lappelante ne produit aucun écrit de sa part antérieur à la résiliation du contrat, dont il ressortirait quelle estimait avoir droit à une rémunération complémentaire pour ses heures supplémentaires, qui auraient pourtant été accumulées sur plusieurs années ; au contraire, son courriel du 30 juin 2011 à G.________ ne concerne que ses jours de vacances. Si X.________ pensait avoir droit à une rémunération supplémentaire pour les heures ressortant du programmeTimelead, elle naurait manifestement pas attendu quatre ans  et laccumulation, selon elle, de 1'089.20 heures de travail devant être rémunérés  avant de faire valoir son droit à une telle rémunération.</w:t>
      </w:r>
    </w:p>
    <w:p>
      <w:r>
        <w:t>Y.________ avait manifestement la même compréhension sur ce point, puisque dès lengagement de X.________, ses représentants ont fait comprendre à la future employée quelle occupait une fonction de cadre et quelle navait pas à utiliserle programmeTimelead. G.________ a déclaré que le poste de X.________ était «important». Rien nindique que Y.________ aurait par la suite modifié sa ligne sur ce point, que ce soit en rémunérant les heures supplémentaires de X.________ ou en lui signifiant quelle avait un droit au paiement de telles heures.</w:t>
      </w:r>
    </w:p>
    <w:p>
      <w:r>
        <w:t>Dans ces conditions, lexclusion de toute compensation des heures supplémentaires futures découlait dune manifestation de volonté claire et concordante des parties au contrat de travail.</w:t>
      </w:r>
    </w:p>
    <w:p>
      <w:r>
        <w:t>c) Enfin, lappelante se limite à invoquer la théorie de limprévision «doù il résulte que lemployeur ne peut plus se prévaloir de laccord dérogatoire et quil est tenu de rémunérer les heures supplémentaires lorsque le travailleur accomplit des heures supplémentaires excédant notablement ce qui était prévisible lors de la conclusion de laccord», sans avancer la moindre démonstration concrète dans le cas despèce : elle se dispense dindiquer quel était le nombre dheures supplémentaires normalement prévisibles en loccurrence ; elle nindiquea fortioriaucun motif à lappui dun tel nombre dheures, pas plus quelle ne prétend que le salaire versé nétait pas suffisamment élevé pour quil comprenne une rémunération forfaitaire des heures supplémentaires normalement prévisibles. Elle ne critique enfin pas le raisonnement de la première juge à cet égard, de sorte que son appel, insuffisamment motivé (art. 311 al. 1 CPP), est irrecevable sur ce point.</w:t>
      </w:r>
    </w:p>
    <w:p>
      <w:r>
        <w:t>4.Largument de lappelante qui déduit du nombre dheures supplémentaires quelle a effectuées que les parties avaient tacitement augmenté son taux de travail nest pas plus convaincant. En effet, à mesure quau fil de la relation contractuelle, Y.________ sen est toujours tenue au salaire couvrant forfaitairement les heures supplémentaires et convenu par écrit et quelle na jamais demandé à X.________ deffectuer la moindre heure supplémentaire, pas plus quelle ne sest engagée  en dérogation du contrat  à rémunérer les heures supplémentaires effectives de X.________, il nexiste aucun acte concluant qui pourrait être interprété comme une volonté de Y.________ daugmenter le taux de travail de lappelante.</w:t>
      </w:r>
    </w:p>
    <w:p>
      <w:r>
        <w:t>5.Vu lensemble de ce qui précède,lappel doit être rejeté, dans la mesure de sa recevabilité. Le jugement querellé doit être confirmé. Les frais sont mis à la charge de lappelante, qui sera en outre condamnée à verser à lintimée une indemnité de dépens (art. 95 al. 1cum106 al. 1 CPC ; art. 13 al. 1 du Décret fixant le tarif des frais, des émoluments de chancellerie et des dépens en matière civile, pénale et administrative [TFrais, RSN 164.1]).</w:t>
      </w:r>
    </w:p>
    <w:p>
      <w:r>
        <w:t>Par ces motifs,LA COUR D'APPEL CIVILE</w:t>
      </w:r>
    </w:p>
    <w:p>
      <w:r>
        <w:t>1.Rejette lappel, dans la mesure de sa recevabilité et confirme le jugement rendu en première instance.</w:t>
      </w:r>
    </w:p>
    <w:p>
      <w:r>
        <w:t>2.Met les frais judiciaires de deuxième instance, arrêtés à 3500 francs et avancés par lappelante, à la charge de celle-ci.</w:t>
      </w:r>
    </w:p>
    <w:p>
      <w:r>
        <w:t>3.Condamne lappelante à verser à lintimée une indemnité de dépens de 1'500 francs pour la deuxième instance.</w:t>
      </w:r>
    </w:p>
    <w:p>
      <w:r>
        <w:t>Neuchâtel, le 11 février 2019</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w:t>
      </w:r>
    </w:p>
    <w:p>
      <w:r>
        <w:t>2L'employeur peut, avec l'accord du travailleur, compenser les heures de travail supplémentaires par un congé d'une durée au moins égale, qui doit être accordé au cours d'une période appropriée.</w:t>
      </w:r>
    </w:p>
    <w:p>
      <w:r>
        <w:t>3L'employeur est tenu de rétribuer les heures de travail supplémentaires qui ne sont pas compensées par un congé en versant le salaire normal majoré d'un quart au moins, sauf clause contraire d'un accord écrit, d'un contrat-type de travail ou d'une convention collective.</w:t>
      </w:r>
    </w:p>
    <w:p>
      <w:r>
        <w:rPr>
          <w:b/>
        </w:rPr>
        <w:t>E. 18</w:t>
      </w:r>
    </w:p>
    <w:p>
      <w:r>
        <w:t>al. 1 CO ,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 ATF 132 III 626 cons. 3.1, JT 2007 I 423; ATF 125 III 305 cons. 2b).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 ATF 133 III 61 cons. 2.2.1 125 III 305 cons. 2b). b) En l’espèce, il ressort du dossier que les parties avaient compris de la même manière la notion de « cadre », au sens du 5 e paragraphe du chiffre 5.3 du règlement interne de A.________. En effet, X.________ a déclaré lors de son interrogatoire du 27 juin 2017 qu’elle avait occupé « des postes de cadre et cadre supérieur (…) tout au long de [s]a carrière ». S’agissant en particulier de son engagement au service de Y.________, elle a déclaré : « Lors de mon entretien d’embauche, j’ai été informée dans le détail de la nature de l’activité pour laquelle j’étais engagée. Y.________ venait d’être créée et il fallait quelqu’un pour gérer toute l’administration. Je savais que j’étais la seule employée et était directement rattachée au président du conseil d’administration. (…). Dans mon esprit, il s’agissait d’un nouveau poste de cadre, ce que le titre de mon poste figurant sur le contrat confirmait » ( idem ). Dans ces conditions, X.________ ne pouvait que comprendre le 5 e paragraphe du chiffre 5.3 du règlement interne de A.________ comme étant applicable à son rapport de travail. Plusieurs éléments illustrent d’ailleurs que tel était le cas. En effet, X.________ a déclaré qu’il lui avait été expliqué lors de son entretien d’embauche qu’elle n’avait pas l’obligation formelle d’utiliser le programme Timelead , ce qui a pour corollaire que les heures supplémentaires étaient forfaitairement incluses dans son salaire ; de même, elle a admis ne jamais avoir suivi la procédure faisant l’objet du 1 er paragraphe du chiffre 5.3 du règlement interne de A.________, ce que l’on ne saurait expliquer autrement que par le fait qu’elle comprenait que les heures supplémentaires étaient forfaitairement incluses dans son salaire. Lors de son audition, X.________ n’a pas dit s’être offusquée lorsque feu H.________ ne lui avait donné « aucune confirmation ni garantie » quant au paiement de ses heures supplémentaires ressortant de Timelead , ni lorsque son successeur G.________ lui avait « répondu par la négative » à ce propos, ce qui illustre bien qu’elle ne pensait pas avoir un droit en ce sens. D’ailleurs, l’appelante ne produit aucun écrit de sa part antérieur à la résiliation du contrat, dont il ressortirait qu’elle estimait avoir droit à une rémunération complémentaire pour ses heures supplémentaires, qui auraient pourtant été accumulées sur plusieurs années ; au contraire, son courriel du 30 juin 2011 à G.________ ne concerne que ses jours de vacances. Si X.________ pensait avoir droit à une rémunération supplémentaire pour les heures ressortant du programme Timelead , elle n’aurait manifestement pas attendu quatre ans – et l’accumulation, selon elle, de 1'089.20 heures de travail devant être rémunérés – avant de faire valoir son droit à une telle rémunération. Y.________ avait manifestement la même compréhension sur ce point, puisque dès l’engagement de X.________, ses représentants ont fait comprendre à la future employée qu’elle occupait une fonction de cadre et qu’elle n’avait pas à utiliser le programme Timelead . G.________ a déclaré que le poste de X.________ était « important ». Rien n’indique que Y.________ aurait par la suite modifié sa ligne sur ce point, que ce soit en rémunérant les heures supplémentaires de X.________ ou en lui signifiant qu’elle avait un droit au paiement de telles heures. Dans ces conditions, l’exclusion de toute compensation des heures supplémentaires futures découlait d’une manifestation de volonté claire et concordante des parties au contrat de travail. c) Enfin, l’appelante se limite à invoquer la théorie de l’imprévision « d’où il résulte que l’employeur ne peut plus se prévaloir de l’accord dérogatoire et qu’il est tenu de rémunérer les heures supplémentaires lorsque le travailleur accomplit des heures supplémentaires excédant notablement ce qui était prévisible lors de la conclusion de l’accord », sans avancer la moindre démonstration concrète dans le cas d’espèce : elle se dispense d’indiquer quel était le nombre d’heures supplémentaires normalement prévisibles en l’occurrence ; elle n’indique a fortiori aucun motif à l’appui d’un tel nombre d’heures, pas plus qu’elle ne prétend que le salaire versé n’était pas suffisamment élevé pour qu’il comprenne une rémunération forfaitaire des heures supplémentaires normalement prévisibles. Elle ne critique enfin pas le raisonnement de la première juge à cet égard, de sorte que son appel, insuffisamment motivé (art. 311 al. 1 CPP), est irrecevable sur ce point. 4. L’argument de l’appelante qui déduit du nombre d’heures supplémentaires qu’elle a effectuées que les parties avaient tacitement augmenté son taux de travail n’est pas plus convaincant. En effet, à mesure qu’au fil de la relation contractuelle, Y.________ s’en est toujours tenue au salaire couvrant forfaitairement les heures supplémentaires et convenu par écrit et qu’elle n’a jamais demandé à X.________ d’effectuer la moindre heure supplémentaire, pas plus qu’elle ne s’est engagée – en dérogation du contrat – à rémunérer les heures supplémentaires effectives de X.________, il n’existe aucun acte concluant qui pourrait être interprété comme une volonté de Y.________ d’augmenter le taux de travail de l’appelante. 5. Vu l’ensemble de ce qui précède, l’appel doit être rejeté, dans la mesure de sa recevabilité. Le jugement querellé doit être confirmé. Les frais sont mis à la charge de l’appelante, qui sera en outre condamnée à verser à l’intimée une indemnité de dépens (art. 95 al. 1 cum 106 al. 1 CPC ; art. 13 al. 1 du Décret fixant le tarif des frais, des émoluments de chancellerie et des dépens en matière civile, pénale et administrative [ 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