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CACIV.2017.21 vom 5. September 2017</w:t>
      </w:r>
    </w:p>
    <w:p>
      <w:r>
        <w:t>NE Tribunal cantonal, 2017-09-05, FR</w:t>
      </w:r>
    </w:p>
    <w:p>
      <w:r>
        <w:rPr>
          <w:b/>
        </w:rPr>
        <w:t xml:space="preserve">Quelle: </w:t>
      </w:r>
      <w:r>
        <w:t>https://mcp.opencaselaw.ch/entscheid/ne_gerichte_CACIV.2017.21</w:t>
      </w:r>
    </w:p>
    <w:p>
      <w:r>
        <w:t>FR: NE_GERICHTE CACIV.2017.21 du 5 septembre 2017</w:t>
      </w:r>
    </w:p>
    <w:p>
      <w:r>
        <w:t>IT: NE_GERICHTE CACIV.2017.21 del 5 settembre 2017</w:t>
      </w:r>
    </w:p>
    <w:p>
      <w:pPr>
        <w:pStyle w:val="Heading2"/>
      </w:pPr>
      <w:r>
        <w:t>Erwägungen</w:t>
      </w:r>
    </w:p>
    <w:p>
      <w:r>
        <w:rPr>
          <w:b/>
        </w:rPr>
        <w:t>E. 1</w:t>
      </w:r>
    </w:p>
    <w:p>
      <w:r>
        <w:t>Les faits et moyens de preuve nouveaux ne sont pris en compte qu'aux conditions suivantes: a. ils sont invoqués ou produits sans retard; b. ils ne pouvaient être invoqués ou produits devant la première instance bien que la partie qui s'en prévaut ait fait preuve de la diligence requise.</w:t>
      </w:r>
    </w:p>
    <w:p>
      <w:r>
        <w:rPr>
          <w:b/>
        </w:rPr>
        <w:t>E. 2</w:t>
      </w:r>
    </w:p>
    <w:p>
      <w:r>
        <w:t>Nouvelle teneur selon le ch. 3 de l'annexe à la LF du 19 juin 2015 (Partage de la prévoyance professionnelle en cas de divorce), en vigueur depuis le 1 er janv. 2017 ( RO 2016 2313 ; FF 2013 4341 ). Art.</w:t>
      </w:r>
    </w:p>
    <w:p>
      <w:r>
        <w:rPr>
          <w:b/>
        </w:rPr>
        <w:t>E. 5</w:t>
      </w:r>
    </w:p>
    <w:p>
      <w:r>
        <w:t>LFLP Paiement en espèces 1 L'assuré peut exiger le paiement en espèces de la prestation de sortie: a. 1 lorsqu'il quitte définitivement la Suisse; l'art. 25 f est réservé; b. lorsqu'il s'établit à son compte et qu'il n'est plus soumis à la prévoyance professionnelle obligatoire; c. lorsque le montant de la prestation de sortie est inférieur au montant annuel des cotisations de l'assuré. 2 Si l'assuré est marié ou lié par un partenariat enregistré, le paiement en espèces ne peut intervenir qu'avec le consentement écrit de son conjoint ou de son partenaire. 2 3 S'il n'est pas possible de recueillir ce consentement ou si le conjoint ou le partenaire enregistré le refuse sans motif légitime, l'assuré peut en appeler au tribunal civil. 3 1 Nouvelle teneur selon le ch. 3 de l'annexe à la LF du 3 oct. 2003 (1 re révision LPP), en vigueur depuis le 1 er janv. 2005 ( RO 2004 1677 ; FF 2000 2495 ). 2 Nouvelle teneur selon le ch. 30 de l'annexe à la L du 18 juin 2004 sur le partenariat, en vigueur depuis le 1 er janv. 2007 ( RO 2005 5685 ; FF 2003 1192 ). 3 Nouvelle teneur selon le ch. 5 de l'annexe à la LF du 19 juin 2015 (Partage de la prévoyance professionnelle en cas de divorce), en vigueur depuis le 1 er janv. 2017 ( RO 2016 2313 ; FF 2013 4341 ). Art. 22 a 1 LPFLP Calcul de la prestation de sortie à partager 1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2 Les parties d'un versement unique financé durant le mariage par l'un des conjoints au moyen de biens qui, dans le régime matrimonial de la participation aux acquêts, entreraient de par la loi dans les biens propres (art. 198 CC 2 ) doivent être déduites, y compris les intérêts, de la prestation de sortie à partager. 3 Si un versement anticipé pour la propriété du logement au sens des art. 30 c LPP 3 et 331 e du code des obligations 4 a été effectué durant le mariage, la diminution de capital et la perte d'intérêts sont répartis proportionnellement entre l'avoir de prévoyance acquis avant le mariage et l'avoir constitué durant le mariage jusqu'au moment du versement. 4 Le Conseil fédéral règle les modalités de calcul pour les rentes d'invalidité en cours et pour les situations dans lesquelles le cas de prévoyance vieillesse survient entre l'introduction de la procédure de divorce et l'entrée en force du jugement sur le partage de la prévoyance professionnelle. 1 Introduit par le ch. 7 de l'annexe à la LF du 26 juin 1998 ( RO 1999 1118 ; FF 1996 I 1). Nouvelle teneur selon le ch. 5 de l'annexe à la LF du 19 juin 2015 (Partage de la prévoyance professionnelle en cas de divorce), en vigueur depuis le 1 er janv. 2017 (RO 2016 2313; FF 2013 4341 ). 2 RS 210 3 RS 831.40 4 RS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