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CACIV.2016.87 vom 2. Dezember 2016</w:t>
      </w:r>
    </w:p>
    <w:p>
      <w:r>
        <w:t>NE Tribunal cantonal, 2016-12-02, FR</w:t>
      </w:r>
    </w:p>
    <w:p>
      <w:r>
        <w:rPr>
          <w:b/>
        </w:rPr>
        <w:t xml:space="preserve">Quelle: </w:t>
      </w:r>
      <w:r>
        <w:t>https://mcp.opencaselaw.ch/entscheid/ne_gerichte_CACIV.2016.87</w:t>
      </w:r>
    </w:p>
    <w:p>
      <w:r>
        <w:t>FR: NE_GERICHTE CACIV.2016.87 du 2 décembre 2016</w:t>
      </w:r>
    </w:p>
    <w:p>
      <w:r>
        <w:t>IT: NE_GERICHTE CACIV.2016.87 del 2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fixer un délai à la société pour rétablir la situation légale, sous peine de dissolution;</w:t>
      </w:r>
    </w:p>
    <w:p>
      <w:r>
        <w:rPr>
          <w:b/>
        </w:rPr>
        <w:t>E. 2</w:t>
      </w:r>
    </w:p>
    <w:p>
      <w:r>
        <w:t>nommer l'organe qui fait défaut ou un commissaire;</w:t>
      </w:r>
    </w:p>
    <w:p>
      <w:r>
        <w:rPr>
          <w:b/>
        </w:rPr>
        <w:t>E. 3</w:t>
      </w:r>
    </w:p>
    <w:p>
      <w:r>
        <w:t>prononcer la dissolution de la société et ordonner sa liquidation selon les dispositions applicables à la faillite.</w:t>
      </w:r>
    </w:p>
    <w:p>
      <w:r>
        <w:t>2Si le juge nomme l'organe qui fait défaut ou un commissaire, il détermine la durée pour laquelle la nomination est valable. Il astreint la société à supporter les frais et à verser une provision aux personnes nommées.</w:t>
      </w:r>
    </w:p>
    <w:p>
      <w:r>
        <w:t>3La société peut, pour de justes motifs, demander au juge la révocation de personnes qu'il a nommées.</w:t>
      </w:r>
    </w:p>
    <w:p>
      <w:r>
        <w:t>1Les faits et moyens de preuve nouveaux ne sont pris en compte qu'aux conditions suivantes:</w:t>
      </w:r>
    </w:p>
    <w:p>
      <w:r>
        <w:t>a. ils sont invoqués ou produits sans retard;</w:t>
      </w:r>
    </w:p>
    <w:p>
      <w:r>
        <w:t>b. ils ne pouvaient être invoqués ou produits devant la première instance bien que la partie qui s'en prévaut ait fait preuve de la diligence requise.</w:t>
      </w:r>
    </w:p>
    <w:p>
      <w:r>
        <w:t>2La demande ne peut être modifiée que si:</w:t>
      </w:r>
    </w:p>
    <w:p>
      <w:r>
        <w:t>a. les conditions fixées à l'art. 227, al. 1, sont remplies;</w:t>
      </w:r>
    </w:p>
    <w:p>
      <w:r>
        <w:t>b. la modification repose sur des faits ou des moyens de preuve nouveaux.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