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CACIV.2016.39 vom 8. September 2016</w:t>
      </w:r>
    </w:p>
    <w:p>
      <w:r>
        <w:t>NE Tribunal cantonal, 2016-09-08, FR</w:t>
      </w:r>
    </w:p>
    <w:p>
      <w:r>
        <w:rPr>
          <w:b/>
        </w:rPr>
        <w:t xml:space="preserve">Quelle: </w:t>
      </w:r>
      <w:r>
        <w:t>https://mcp.opencaselaw.ch/entscheid/ne_gerichte_CACIV.2016.39</w:t>
      </w:r>
    </w:p>
    <w:p>
      <w:r>
        <w:t>FR: NE_GERICHTE CACIV.2016.39 du 8 septembre 2016</w:t>
      </w:r>
    </w:p>
    <w:p>
      <w:r>
        <w:t>IT: NE_GERICHTE CACIV.2016.39 del 8 settembre 2016</w:t>
      </w:r>
    </w:p>
    <w:p>
      <w:pPr>
        <w:pStyle w:val="Heading2"/>
      </w:pPr>
      <w:r>
        <w:t>Erwägungen</w:t>
      </w:r>
    </w:p>
    <w:p>
      <w:r>
        <w:rPr>
          <w:b/>
        </w:rPr>
        <w:t>E. 10</w:t>
      </w:r>
    </w:p>
    <w:p>
      <w:r>
        <w:t>Mal fondé, l'appel doit être rejeté, les frais et dépens de la cause étant mis à la charge de l'appelante, de même qu'une indemnité de dépens en faveur de l'intimée, qui peut être fixée, pour un dossier relativement technique, au montant de 4'187.10 francs, frais et TVA inclus, ressortant du mémoire d’honoraires produit.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