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CACIV.2016.21 vom 9. Februar 2017</w:t>
      </w:r>
    </w:p>
    <w:p>
      <w:r>
        <w:t>NE Tribunal cantonal, 2017-02-09, FR</w:t>
      </w:r>
    </w:p>
    <w:p>
      <w:r>
        <w:rPr>
          <w:b/>
        </w:rPr>
        <w:t xml:space="preserve">Quelle: </w:t>
      </w:r>
      <w:r>
        <w:t>https://mcp.opencaselaw.ch/entscheid/ne_gerichte_CACIV.2016.21</w:t>
      </w:r>
    </w:p>
    <w:p>
      <w:r>
        <w:t>FR: NE_GERICHTE CACIV.2016.21 du 9 février 2017</w:t>
      </w:r>
    </w:p>
    <w:p>
      <w:r>
        <w:t>IT: NE_GERICHTE CACIV.2016.21 del 9 febbraio 2017</w:t>
      </w:r>
    </w:p>
    <w:p>
      <w:pPr>
        <w:pStyle w:val="Heading2"/>
      </w:pPr>
      <w:r>
        <w:t>Erwägungen</w:t>
      </w:r>
    </w:p>
    <w:p>
      <w:r>
        <w:rPr>
          <w:b/>
        </w:rPr>
        <w:t>E. 35</w:t>
      </w:r>
    </w:p>
    <w:p>
      <w:r>
        <w:t>LAVS). Ce sont donc les lacunes de cotisations AVS présentées par le compte de ce dernier qui se sont répercutées sur la rente de veuve de lappelante et qui constituent le résultat dommageable des actes illicites prétendus. Or A.X. avait la possibilité, au long de sa carrière au service de lintimée, dexiger de celle-ci quelle laffilie à lAVS sil estimait que tel devait être le cas. Sur ce point, on ne peut suivre largumentation de lappelante selon laquelle lintéressé croyait être affilié à lAVS puisque les certificats annuels qui lui étaient délivrés mentionnaient des contributions à lAVS en sa faveur. Certes les certificats de salaire du prénommé indiquent 3'098 francs de cotisations AVS en 2001 et 2'988 francs en 2002, mais lintéressé pouvait aisément sapercevoir du caractère erroné de cette mention puisque le contrat de travail signé par les parties indiquait clairement en son article 12 que A.X. nétait pas affilié à lAVS,mais au fonds de prévoyance de lemployeur, soit GRYFF de la « VITA », compagnie dassurance sur la vie. Ce sont donc les cotisations à ce fonds de prévoyance qui figuraient sur les certificats de salaire remplis sur des formulaires préimprimés. Le cas despèce ne peut donc pas être assimilé à celui dun lésé qui souffre dune maladie apparue et diagnostiquée plus de dix ans après lexposition aux éléments pathogènes qui lont provoquée. A.X. a acquis le droit à une rente AVS au 1eroctobre 2010, soit avant l'échéance du délai de 10 ans dès la fin de la période de non-affiliation reprochée à l'intimée (31 décembre 2002). Il a entrepris certaines démarches mais n'a pas agi en justice. Sa veuve ne peut pas bénéficier, pour la mise en cause de la responsabilité de l'ex-employeur, d'un délai plus étendu que celui dont disposait feu son mari, du seul fait de la naissance d'un droit dérivé à une rente, le 28 novembre 2012 (soit d'ailleurs, par coïncidence, quelques semaines avant le terme du délai susmentionné). Il ny a donc pas en loccurrence de raison de sécarter de la jurisprudence du Tribunal fédéral selon laquelle le dies a quo du délai de prescription absolue de larticle60 al. 1 COest le jour où le comportement  prétendument illicite  a pris fin. Mal fondé, lappel doit être rejeté.</w:t>
      </w:r>
    </w:p>
    <w:p>
      <w:r>
        <w:t>3.Vu l'issue de la cause, il se justifie de mettre les frais judiciaires de deuxième instance à charge de l'appelante, ainsi qu'une indemnité de dépens en faveur de l'intimée, tenant compte de l'inégalité économique manifeste des parties (art. 107 al. 1 let. f CPC).</w:t>
      </w:r>
    </w:p>
    <w:p>
      <w:r>
        <w:t>Par ces motifs,LA COUR D'APPEL CIVILE</w:t>
      </w:r>
    </w:p>
    <w:p>
      <w:r>
        <w:t>1.Rejette l'appel et confirme le jugement rendu en première instance.</w:t>
      </w:r>
    </w:p>
    <w:p>
      <w:r>
        <w:t>2.Met les frais judiciaires de deuxième instance, arrêtés à 1'000 francs et avancés par  lEtat pour le compte de lappelante, à la charge de celle-ci, sous réserve des règles de lassistance judiciaire.</w:t>
      </w:r>
    </w:p>
    <w:p>
      <w:r>
        <w:t>3.Condamne l'appelante à verser à l'intimée une indemnité de dépens de 1'800 francs, sous réserve des règles de lassistance judiciaire.</w:t>
      </w:r>
    </w:p>
    <w:p>
      <w:r>
        <w:t>Neuchâtel, le 9 février 2017</w:t>
      </w:r>
    </w:p>
    <w:p>
      <w:r>
        <w:t>1L'action en dommages-intérêts ou en paiement d'une somme d'argent à titre de réparation morale se prescrit par un an à compter du jour où la partie lésée a eu connaissance du dommage ainsi que de la personne qui en est l'auteur, et, dans tous les cas, par dix ans dès le jour où le fait dommageable s'est produit.</w:t>
      </w:r>
    </w:p>
    <w:p>
      <w:r>
        <w:t>2Toutefois, si les dommages-intérêts dérivent d'un acte punissable soumis par les lois pénales à une prescription de plus longue durée, cette prescription s'applique à l'action civile.</w:t>
      </w:r>
    </w:p>
    <w:p>
      <w:r>
        <w:t>3Si l'acte illicite a donné naissance à une créance contre la partie lésée, celle-ci peut en refuser le paiement lors même que son droit d'exiger la réparation du dommage serait atteint par la prescription.</w:t>
      </w:r>
    </w:p>
    <w:p>
      <w:r>
        <w:t>1Nouvelle teneur selon le ch. 2 de l'annexe à la LF du 19 déc. 2003 sur la signature électronique, en vigueur depuis le 1erjanv. 2005 (RO20045085;FF20015423).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