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CACIV.2015.96 vom 12. Februar 2016</w:t>
      </w:r>
    </w:p>
    <w:p>
      <w:r>
        <w:t>NE Tribunal cantonal, 2016-02-12, FR</w:t>
      </w:r>
    </w:p>
    <w:p>
      <w:r>
        <w:rPr>
          <w:b/>
        </w:rPr>
        <w:t xml:space="preserve">Quelle: </w:t>
      </w:r>
      <w:r>
        <w:t>https://mcp.opencaselaw.ch/entscheid/ne_gerichte_CACIV.2015.96</w:t>
      </w:r>
    </w:p>
    <w:p>
      <w:r>
        <w:t>FR: NE_GERICHTE CACIV.2015.96 du 12 février 2016</w:t>
      </w:r>
    </w:p>
    <w:p>
      <w:r>
        <w:t>IT: NE_GERICHTE CACIV.2015.96 del 12 febbraio 2016</w:t>
      </w:r>
    </w:p>
    <w:p>
      <w:pPr>
        <w:pStyle w:val="Heading2"/>
      </w:pPr>
      <w:r>
        <w:t>Erwägungen</w:t>
      </w:r>
    </w:p>
    <w:p>
      <w:r>
        <w:rPr>
          <w:b/>
        </w:rPr>
        <w:t>E. 4</w:t>
      </w:r>
    </w:p>
    <w:p>
      <w:r>
        <w:t>Vu ce qui précède, l'appel est bien fondé et la décision du 17 septembre 2015 doit être annulée. La cause sera renvoyée à la juge de première instance afin qu'elle nomme un expert. Les frais et dépens de la procédure seront mis à la charge de l'appelant, y compris les frais de la procédure d'appel. En effet, selon la jurisprudence du Tribunal fédéral, les frais et les dépens dans le cadre d'une procédure de preuve à futur sont mis à la charge de la partie qui introduit la requête et qui a un intérêt à celle-ci, sous réserve d'une répartition différente dans un éventuel procès au fond ( ATF 140 III 30 qui pose le principe d'une répartition des frais et dépens en fonction de l'intérêt à la cause et non pas selon les principes ordinaires de gain ou perte du procès, faute de partie qui succombe). Les frais et dépens alloués en première et en deuxième instances sont donc répétables par le requérant à la preuve à futur, en fonction du sort final de la cause au fond qu'il déciderait d'introduire.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