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CACIV.2015.88 vom 16. Dezember 2015</w:t>
      </w:r>
    </w:p>
    <w:p>
      <w:r>
        <w:t>NE Tribunal cantonal, 2015-12-16, FR</w:t>
      </w:r>
    </w:p>
    <w:p>
      <w:r>
        <w:rPr>
          <w:b/>
        </w:rPr>
        <w:t xml:space="preserve">Quelle: </w:t>
      </w:r>
      <w:r>
        <w:t>https://mcp.opencaselaw.ch/entscheid/ne_gerichte_CACIV.2015.88</w:t>
      </w:r>
    </w:p>
    <w:p>
      <w:r>
        <w:t>FR: NE_GERICHTE CACIV.2015.88 du 16 décembre 2015</w:t>
      </w:r>
    </w:p>
    <w:p>
      <w:r>
        <w:t>IT: NE_GERICHTE CACIV.2015.88 del 16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fixe la contribution pécuniaire à verser par l'une des parties à l'autre;</w:t>
      </w:r>
    </w:p>
    <w:p>
      <w:r>
        <w:rPr>
          <w:b/>
        </w:rPr>
        <w:t>E. 2</w:t>
      </w:r>
    </w:p>
    <w:p>
      <w:r>
        <w:t>prend les mesures en ce qui concerne le logement et le mobilier de ménage;</w:t>
      </w:r>
    </w:p>
    <w:p>
      <w:r>
        <w:rPr>
          <w:b/>
        </w:rPr>
        <w:t>E. 3</w:t>
      </w:r>
    </w:p>
    <w:p>
      <w:r>
        <w:t>ordonne la séparation de biens si les circonstances le justifient.</w:t>
      </w:r>
    </w:p>
    <w:p>
      <w:r>
        <w:t>2La requête peut aussi être formée par un époux lorsque la vie commune se révèle impossible, notamment parce que son conjoint la refuse sans y être fondé.</w:t>
      </w:r>
    </w:p>
    <w:p>
      <w:r>
        <w:t>3Lorsqu'il y a des enfants mineurs, le juge ordonne les mesures nécessaires, d'après les dispositions sur les effets de la filiation.</w:t>
      </w:r>
    </w:p>
    <w:p>
      <w:r>
        <w:t>1Le tribunal ordonne les mesures provisionnelles nécessaires. Les dispositions régissant la protection de l'union conjugale sont applicables par analogie.</w:t>
      </w:r>
    </w:p>
    <w:p>
      <w:r>
        <w:t>2Les mesures ordonnées par le tribunal des mesures protectrices de l'union conjugale sont maintenues. Le tribunal du divorce est compétent pour prononcer leur modification ou leur révocation.</w:t>
      </w:r>
    </w:p>
    <w:p>
      <w:r>
        <w:t>3Le tribunal peut ordonner des mesures provisionnelles après la dissolution du mariage, tant que la procédure relative aux effets du divorce n'est pas close.</w:t>
      </w:r>
    </w:p>
    <w:p>
      <w:r>
        <w:rPr>
          <w:b/>
        </w:rPr>
        <w:t>E. 4</w:t>
      </w:r>
    </w:p>
    <w:p>
      <w:r>
        <w:t>Mal fondé, l'appel doit être rejeté. Les frais judiciaires de deuxième instance seront mis à charge de l'appelante, ainsi qu'une indemnité de dépens en faveur de l'intimé.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