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CACIV.2015.66 vom 15. Februar 2016</w:t>
      </w:r>
    </w:p>
    <w:p>
      <w:r>
        <w:t>NE Tribunal cantonal, 2016-02-15, FR</w:t>
      </w:r>
    </w:p>
    <w:p>
      <w:r>
        <w:rPr>
          <w:b/>
        </w:rPr>
        <w:t xml:space="preserve">Quelle: </w:t>
      </w:r>
      <w:r>
        <w:t>https://mcp.opencaselaw.ch/entscheid/ne_gerichte_CACIV.2015.66</w:t>
      </w:r>
    </w:p>
    <w:p>
      <w:r>
        <w:t>FR: NE_GERICHTE CACIV.2015.66 du 15 février 2016</w:t>
      </w:r>
    </w:p>
    <w:p>
      <w:r>
        <w:t>IT: NE_GERICHTE CACIV.2015.66 del 15 febbraio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tribunal amène les parties, par des questions appropriées, à compléter les allégations insuffisantes et à désigner les moyens de preuve.</w:t>
      </w:r>
    </w:p>
    <w:p>
      <w:r>
        <w:rPr>
          <w:b/>
        </w:rPr>
        <w:t>E. 2</w:t>
      </w:r>
    </w:p>
    <w:p>
      <w:r>
        <w:t>dans les autres litiges portant sur un contrat de travail.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