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CACIV.2015.116 vom 20. August 2013</w:t>
      </w:r>
    </w:p>
    <w:p>
      <w:r>
        <w:t>NE Tribunal cantonal, 2013-08-20, FR</w:t>
      </w:r>
    </w:p>
    <w:p>
      <w:r>
        <w:rPr>
          <w:b/>
        </w:rPr>
        <w:t xml:space="preserve">Quelle: </w:t>
      </w:r>
      <w:r>
        <w:t>https://mcp.opencaselaw.ch/entscheid/ne_gerichte_CACIV.2015.116_d20130820</w:t>
      </w:r>
    </w:p>
    <w:p>
      <w:r>
        <w:t>FR: NE_GERICHTE CACIV.2015.116 du 20 août 2013</w:t>
      </w:r>
    </w:p>
    <w:p>
      <w:r>
        <w:t>IT: NE_GERICHTE CACIV.2015.116 del 20 agosto 2013</w:t>
      </w:r>
    </w:p>
    <w:p>
      <w:pPr>
        <w:pStyle w:val="Heading2"/>
      </w:pPr>
      <w:r>
        <w:t>Regeste</w:t>
      </w:r>
    </w:p>
    <w:p>
      <w:r>
        <w:t>Modification du jugement de divorce. Pensions en faveur des enfants. Revenu hypothétique du débiteur.</w:t>
      </w:r>
    </w:p>
    <w:p>
      <w:pPr>
        <w:pStyle w:val="Heading2"/>
      </w:pPr>
      <w:r>
        <w:t>Erwägungen</w:t>
      </w:r>
    </w:p>
    <w:p>
      <w:r>
        <w:rPr>
          <w:b/>
        </w:rPr>
        <w:t>E. 1</w:t>
      </w:r>
    </w:p>
    <w:p>
      <w:r>
        <w:t>A la requête du père ou de la mère, de l'enfant ou de l'autorité de protection de l'enfant, l'attribution de l'autorité parentale doit être modifiée lorsque des faits nouveaux importants l'exigent pour le bien de l'enfant.</w:t>
      </w:r>
    </w:p>
    <w:p>
      <w:r>
        <w:rPr>
          <w:b/>
        </w:rPr>
        <w:t>E. 2</w:t>
      </w:r>
    </w:p>
    <w:p>
      <w:r>
        <w:t>Les conditions se rapportant à la modification des autres droits et devoirs des père et mère sont définies par les dispositions relatives aux effets de la filiation. 1</w:t>
      </w:r>
    </w:p>
    <w:p>
      <w:r>
        <w:rPr>
          <w:b/>
        </w:rPr>
        <w:t>E. 3</w:t>
      </w:r>
    </w:p>
    <w:p>
      <w:r>
        <w:t>En cas d'accord entre les père et mère, l'autorité de protection de l'enfant est compétente pour modifier l'attribution de l'autorité parentale et de la garde ainsi que pour ratifier la convention relative à l'entretien de l'enfant. Dans les autres cas, la décision appartient au juge compétent pour modifier le jugement de divorce. 2</w:t>
      </w:r>
    </w:p>
    <w:p>
      <w:r>
        <w:rPr>
          <w:b/>
        </w:rPr>
        <w:t>E. 4</w:t>
      </w:r>
    </w:p>
    <w:p>
      <w:r>
        <w:t>Lorsqu'il statue sur la modification de l'autorité parentale, de la garde ou de la contribution d'entretien d'un enfant mineur, le juge modifie au besoin la manière dont les relations personnelles ou la participation de chaque parent à sa prise en charge ont été réglées; dans les autres cas, l'autorité de protection de l'enfant est compétente en la matière. 3 1 Nouvelle teneur selon le ch. I de la LF du 21 juin 2013 (Autorité parentale), en vigueur depuis le 1 er juil. 2014 ( RO 2014 357 ; FF 2011 8315 ). 2 Nouvelle teneur selon le ch. I de la LF du 21 juin 2013 (Autorité parentale), en vigueur depuis le 1 er juil. 2014 ( RO 2014 357 ; FF 2011 8315 ). 3 Nouvelle teneur selon le ch. I de la LF du 21 juin 2013 (Autorité parentale), en vigueur depuis le 1 er juil. 2014 ( RO 2014 357 ; FF 2011 8315 ). Art. 286 1 CC Faits nouveaux En général 2 1 Le juge peut ordonner que la contribution d'entretien soit augmentée ou réduite dès que des changements déterminés interviennent dans les besoins de l'enfant, les ressources des père et mère ou le coût de la vie. 2 Si la situation change notablement, le juge modifie ou supprime la contribution d'entretien à la demande du père, de la mère ou de l'enfant. 3 Le juge peut contraindre les parents à verser une contribution spéciale lorsque des besoins extraordinaires imprévus de l'enfant le requièrent. 3 1 Nouvelle teneur selon le ch. I 1 de la LF du 25 juin 1976, en vigueur depuis le 1 er janv. 1978 (RO 1977 237; FF 1974 II 1). 2 Nouvelle teneur selon le ch. I de la LF du 20 mars 2015 (Entretien de l'enfant), en vigueur depuis le 1 er janv. 2017 ( RO 2015 4299 ; FF 2014 511 ). 3 Introduit par le ch. I 4 de la LF du 26 juin 1998, en vigueur depuis le 1 er janv. 2000 ( RO 1999 1118 ; FF 1996 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