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CACIV.2014.49 vom 25. Februar 2016</w:t>
      </w:r>
    </w:p>
    <w:p>
      <w:r>
        <w:t>NE Tribunal cantonal, 2016-02-25, FR</w:t>
      </w:r>
    </w:p>
    <w:p>
      <w:r>
        <w:rPr>
          <w:b/>
        </w:rPr>
        <w:t xml:space="preserve">Quelle: </w:t>
      </w:r>
      <w:r>
        <w:t>https://mcp.opencaselaw.ch/entscheid/ne_gerichte_CACIV.2014.49</w:t>
      </w:r>
    </w:p>
    <w:p>
      <w:r>
        <w:t>FR: NE_GERICHTE CACIV.2014.49 du 25 février 2016</w:t>
      </w:r>
    </w:p>
    <w:p>
      <w:r>
        <w:t>IT: NE_GERICHTE CACIV.2014.49 del 25 febbraio 2016</w:t>
      </w:r>
    </w:p>
    <w:p>
      <w:pPr>
        <w:pStyle w:val="Heading2"/>
      </w:pPr>
      <w:r>
        <w:t>Erwägungen</w:t>
      </w:r>
    </w:p>
    <w:p>
      <w:r>
        <w:rPr>
          <w:b/>
        </w:rPr>
        <w:t>E. 2</w:t>
      </w:r>
    </w:p>
    <w:p>
      <w:r>
        <w:t>a) L'appelant conteste pour commencer que l'ouvrage litigieux ait été entaché de défauts et c'est ce qu'il convient d'examiner en premier lieu. b) L'ouvrage est entaché d'un défaut, au sens de l'article 368 CO , lorsqu'il ne possède pas les qualités convenues – expressément ou tacitement – par les parties ou les qualités auxquelles le maître pouvait s'attendre d'après les règles de la bonne foi. S'agissant de la première catégorie de défauts, il ne faut pas se limiter à ce qui a été expressément formulé, mais bien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Il peut y avoir défaut au sens juridique, alors même qu'il n'y a pas défaut au sens technique et inversement. Pour juger si l'ouvrage est conforme à la convention des parties, il y a lieu de tenir compte de son état au moment de la livraison mais aussi de l'état qu'il doit conserver dans la durée (arrêt du TF du 04.12.2009 [4A_460/2009] , cons. 3.1 et les références citées). Chaque promesse de qualité s'intègre au contenu du contrat d'entreprise passé entre les parties. Les déclarations précontractuelles (« vorvertragliche Angaben ») sur la qualité de l'ouvrage, que l'entrepreneur a faites lors des pourparlers ou même avant, mais qui ne sont pas devenues parties intégrantes du contrat (même tacitement) par la suite n'ont pas le caractère contractuel d'une promesse de qualité. Cela vaut en particulier pour les déclarations publicitaires par lesquelles l'entrepreneur s'est adressé à ses cocontractants potentiels. Il convient cependant de souligner qu'une qualité de l'ouvrage vantée publicitairement est promise si le maître qui conclut le contrat était en droit d'admettre, selon les règles de la bonne foi (principe de la confiance), que l'entrepreneur s'engageait à exécuter l'ouvrage avec la qualité vantée (cf. ATF 115 II 477 s. = JdT 1990 I 218 s. par analogie). La déclaration publicitaire de l'entrepreneur sur la qualité de l'ouvrage, même si elle n'a pas été intégrée au contrat, peut contribuer, comme moyen de preuve complémentaire, à la détermination du contenu du contrat passé par les parties ( Gauch / Carron , Le contrat d'entreprise, 1999, N. 1391 et les références citées). Lorsque l'utilité de l'ouvrage requise est absente ou réduite, on se trouve en présence d'un défaut de l'ouvrage même si l'entrepreneur l'a exécuté selon les règles de l'art reconnues, lesquelles se révèlent en pareil cas inexactes ou insuffisantes ( Gauch / Carron , op. cité, N. 1429). c) Pour rechercher la réelle et commune intention des parties (art. 18 al. 1 CO), il faut examiner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des preuves.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133 III 61 , cons. 2.2.1). Cette interprétation dite objective, qui relève du droit, s'effectue non seulement d'après le texte et le contexte des déclarations, mais également à partir des circonstances qui les ont précédées et accompagnées ( ATF 131 III 377 cons. 4.2.1 ; ATF 119 II 449 cons. 3a), à l'exclusion des circonstances postérieures ( ATF 132 III 626 cons. 3.1 ; arrêt du TF du 21.05.2012 [4A_65/2012] ). En l'espèce, les déclarations des parties sont contradictoires au sujet des qualités promises de l'isolation [xxx] et les preuves administrées à ce sujet sont assez maigres. Le demandeur a renoncé, à l'audience du 17 février 2012, au témoignage B. qu'il proposait en preuve des premières discussions entre parties. Il est néanmoins établi que le défendeur a remis à l'autre partie le prospectus [xxx] versé au dossier (admis sur ce point), lors de sa première visite des lieux ou en annexe à son devis. On peut déduire des déclarations de l'intimé, tout comme des allégués de son mémoire de demande, que c'est l'apparition de moisissures dans certains appartements de son immeuble qui l'a amené à rechercher une meilleure isolation. Son allégation selon laquelle le défendeur aurait affirmé que « ses travaux devraient mettre un terme aux problèmes de moisissures et de condensation d'eau » n'a cependant pas été prouvée. Les attestations proposées à ce sujet en procédure de preuve à futur n'ont pas été acceptées (elles se trouvent cependant au dossier du Tribunal de la Sarine) ni reprises sous une forme quelconque dans la procédure au fond et leur contenu (soit les déclarations de locataires mentionnées en p. 2 du même procès-verbal) ne peut pas être apprécié. Certes, vu la relation entre température et condensation, il est probable que le défendeur ait exprimé, en substance, ce qui figure sur le prospectus [xxx], soit : « Sans KNAUF le doublage reste froid, il condense. L'humidité apparaît aux endroits les plus froids  (…) la paroi est fréquemment noircie: ce sont les minuscules champignons » ; « Avec KNAUF (…) Les tapisseries restent nettes ». Cependant, il a toujours insisté, dès l'audience de preuve à futur, sur l'importance décisive de « l'utilisation de l'appartement », que souligne également l'expert, de sorte qu'il apparaît très improbable qu'il ait donné une garantie formelle de disparition des taches de moisissure. Indiscutablement, en revanche, l'appelant a donné, dans son devis du 14 mai 2008, une indication précise et chiffrée, selon laquelle la valeur U des murs passerait de 1,02 à 0,43 après l'injection de laine de pierre, et cela sans aucune réserve quant à la fiabilité de cette information (au contraire de celle qui concerne les « faces des salles de bains », cf. à cet égard le « NB » en fin de document). Pourtant, selon le maître de l'ouvrage lui-même, les parties n'avaient pas précisément parlé sur place du coefficient U et il n'est pas certain que pour lui, cette indication ait eu alors une signification précise en termes de température des murs (ni encore moins, vu les autres facteurs à prendre en compte, de température ambiante dans les appartements). Rien n'indique qu'une telle garantie ait été demandée par l'intimé, mais il n'en demeure pas moins que le contrat s'est conclu sur cette base et qu'une telle spécification pouvait être comprise comme la promesse d'une qualité de l'isolation offerte. Dans son rapport du 7 avril 2010, l'expert, tout en niant l'existence de « défauts majeurs » des travaux exécutés, a toutefois exposé que « si le coefficient d'isolation [avait] effectivement [été] atteint, la température superficielle intérieure des murs [n'aurait pas dû] être inférieure à 19,3º C par une température extérieure de -1 ºC. [Les] mesures effectuées (…) ont révélé des températures comprises entre 17 et 18ºC avec des valeurs comprises entre 11 et 13º C dans les angles des pièces et à proximité des têtes de dalle. Cela signifie que le coefficient U réel mesuré [était] à peine inférieur à 1,0 W/m2 K soit plus du double de la valeur promise ». Dans le rapport complémentaire du 16 juin 2010, l'expert confirme que selon les mesures effectuées, « les coefficients d'isolation des murs n'atteignent pas, et de loin, les valeurs attendues ». Il ressort clairement de l'expertise (p. 10 notamment) que ce résultat n'est « pas surprenant », vu les caractéristiques du bâtiment, lequel présente des « ponts thermiques… très importants ». En d'autres termes, la valeur de 0,43 W/m2 K, calculée sur une base théorique par l'entrepreneur, ne pouvait pas être atteinte (du moins en moyenne) en l'espèce. Or un ouvrage dont les caractéristiques ne permettent pas d'atteindre l'objectif décisif doit être considéré comme défectueux ( Gauch , Der Werkvertrag, 5 e éd., N. 1429). Certes, rien n'indique que la réduction du coefficient de transmission thermique à une valeur déterminée ait constitué un objectif contractuel en soi, mais on peut partir de l'idée que l'entrepreneur a donné, en termes de température des murs (ou de température dans les appartements), des indications comparables à celles relatées par l'expert (dernier passage ci-dessus), dès lors que son calcul théorique correspondait aux données rappelées par l'expert. Or le gain de température attendu ne s'est pas produit. d) L'ouvrage était-il dépourvu de toute utilité ? Le demandeur indiquait que la valeur de U n'avait été réduite que de « quelques dixièmes » et le premier juge l'a retenu de façon encore plus précise (passage de 1,02 W /m2 k « avant les travaux » à un chiffre « à peine inférieur à 1,0 W / m2 k » mesuré par l'expert), mais cette comparaison se fonde sur une constatation inexacte. La valeur initiale est en effet théorique et elle repose sur un sondage des murs, mais aucunement sur une mesure de température. L'expert a, lors de son audition devant le tribunal, déclaré que « l'injection de laine de verre a eu un effet isolant sur les murs » et qu'il était « tout à fait possible » que sans ces travaux, le coefficient U « aurait été supérieur sur l'ensemble des surfaces », sans qu'il lui soit demandé quel ordre de grandeur eût été envisageable, ni pour le coefficient, ni pour le gain de température interne. Bien entendu, après les travaux d'isolation périphérique entrepris par le propriétaire en 2010, l'isolation litigieuse a perdu toute utilité, mais il n'est pas établi qu'elle ait été d'emblée totalement inopérante (l'absence d'économie de chauffage ne résulte que des affirmations du demandeur et il n'est pas certain que les hivers 2007-2008 et 2008-2009 aient fourni une base de comparaison fiable).</w:t>
      </w:r>
    </w:p>
    <w:p>
      <w:r>
        <w:rPr>
          <w:b/>
        </w:rPr>
        <w:t>E. 3</w:t>
      </w:r>
    </w:p>
    <w:p>
      <w:r>
        <w:t>Il convient d'examiner ensuite si, comme prétendu par l'appelant, l'avis des défauts était tardif. a) Le maître découvre les défauts lorsqu’il en constate l’existence avec certitude. Les défauts apparents sont ceux qui ont été ou qui pouvaient être décelés lors de la vérification régulière et diligente de l’ouvrage ; quant aux défauts cachés, ce sont ceux qui ne se manifestent que plus tard (cf. art. 370 al. 3 CO). Dans tous les cas, le maître doit pouvoir constater indubitablement l’existence des défauts de manière à pouvoir formuler une réclamation suffisamment motivée. Il n’en est pas ainsi dès qu’apparaissent les premiers signes de défauts évolutifs dans leur étendue ou leur gravité, mais uniquement lorsque le maître se rend compte – ou devrait se rendre compte en application des règles de la bonne foi – que ce défaut équivaut à une inexécution du contrat ( ATF 131 III 145 , cons. 7.2 pour le contrat de vente ; arrêt du TF [4C.149/1995], publié in SJ 1996 353 ; Werro , Le droit des contrats: Jurisprudence fédérale choisie et annotée, 2012, p. 595). En cas de défauts cachés, le maître est tenu de les signaler à l’entrepreneur aussitôt qu’il en a connaissance ; sinon, l’ouvrage est tenu pour accepté avec ses défauts (art. 370 al. 3 CO ; Werro , op. cit., p. 596). Une vérification ne peut être attendue que lorsqu'elle est objectivement possible et qu'elle peut raisonnablement être exigée du maître, ce qui se détermine dans le cas concret ( Gauch , Der Werkvertrag, N. 2115, avec référence notamment, pour la vérification d'une isolation thermique, à RJN 7 I 300 = DC 1981 14, n° 9 ; en réalité, il s'agissait là d'une isolation phonique, mais la cour se référait à l'ATF 81 II 59 pour le cas d'une isolation thermique ; voir également la citation de cet arrêt dans celui du 24.03.2009 [4A_534/2008] , quant au fait que la vérification peut s'étendre, selon la nature de l'ouvrage, à plusieurs mois). b) Les règles sur le contenu et la forme de l’avis des défauts sont les mêmes, qu’il s’agisse de défauts apparents ou cachés. A teneur de l’article 367 al. 1 CO , le maître est uniquement tenu de « signaler » les défauts à l’entrepreneur. Cette seule communication (Anzeigepflicht) n’est toutefois pas suffisante et elle doit être accompagnée de la déclaration de volonté du maître selon laquelle il considère l’entrepreneur comme responsable du défaut constaté (Rügepflicht) ; une certaine précision quant à la description du défaut est de mise et les déclarations toutes générales sont donc insuffisantes (arrêt du TF du 10.07.1991 [4C.76/1991] , cons. 1a, in SJ 1992 103). En tant que partie non expérimentée, le maître n’a pas à se prononcer sur l’origine des défauts qu’il dénonce ; il n’a pas non plus à utiliser une terminologie technique ou juridique pour décrire les droits de garantie qu’il invoque. L’essentiel est que l’entrepreneur comprenne sans hésitation que le maître entend s’en prendre à lui sur la base de sa responsabilité du fait des défauts. L’avis des défauts n’est soumis à aucune forme particulière (dernier arrêt précité). Il peut même intervenir de manière tacite, par exemple lorsque le maître exerce immédiatement l’un des droits de garantie résultant de l’article 368 CO en se fondant sur un défaut précis de l’ouvrage. Selon la jurisprudence en matière de vente et de contrat d’entreprise, un avis des défauts communiqué deux ou trois jours ouvrables après la découverte de ceux-ci respecte la condition d’immédiateté prévue par la loi ( ATF 98 II 191 , cons.</w:t>
      </w:r>
    </w:p>
    <w:p>
      <w:r>
        <w:rPr>
          <w:b/>
        </w:rPr>
        <w:t>E. 4</w:t>
      </w:r>
    </w:p>
    <w:p>
      <w:r>
        <w:t>a) L'existence d'un défaut, signalé à temps, devant être admise, il convient d'examiner les droits qui en découlaient, pour le maître de l'ouvrage. b) Selon la jurisprudence, l'article 368 al. 1 CO « prévoit que si l'ouvrage est défectueux au point que le maître ne peut pas en faire usage, ou ne peut pas être équitablement contraint de l'accepter, il a le droit de le refuser. Le contrat est alors résolu et le maître a le droit d'exiger la restitution de ce qu'il a déjà payé, avec intérêts au taux légal selon l'article 73 al. 1 CO, dès le paiement (François Chaix, Commentaire romand, nos 23 à 25 ad art. 368 CO ; Peter Gauch, Der Werkvertrag, 2011, n° 1535 p. 602). En cas de défaut moins important, l'article 368 al. 2 CO autorise le maître à exiger la réparation de l'ouvrage aux frais de l'entrepreneur, si la réparation est possible sans dépense excessive, ou à réduire le prix en proportion de la moins-value » (arrêt du TF du 19.07.2012 [ 4A_229/2012] ) . En présence d'un ouvrage érigé « sur le fonds du maître et dont, à raison de [sa] nature, l'enlèvement présenterait des inconvénients excessifs », le choix du maître se restreint, dit l'article 368 al. 3 CO , aux « mesures indiquées au précédent alinéa », à l'exclusion du droit à résolution du contrat. La majorité des auteurs ( Gauch, op. cit. N. 1573 ; Bühler , Commentaire zurichois, N. 211 ad art. 368 CO ; Zindel / Pulver , Commentaire bâlois, N. 77 ad art. 368 CO) et le Tribunal fédéral (arrêt du 08.09.2014 [4A_177/2014] ) parlent (à l'inverse de Chaix , Commentaire romand, N. 22 ad art. 368 CO, et de Gautschi , Commentaire bernois, N. 13a ad art. 368 CO) d'inconvénients excessifs pour l'entrepreneur, ce qui ne ressort pas du texte légal. On peut voir une certaine logique à cette précision puisque c'est le choix du maître qui est en cause, mais on peut aussi concevoir qu'une option totalement irrationnelle de ce dernier (entraînant par ex. des dommages au bien-fonds dont il entendrait demander réparation) lui soit interdite. Il n'est pas nécessaire de trancher ce point en l'occurrence car l'enlèvement de l'ouvrage est de toute évidence techniquement impossible, ce qui va au-delà des « inconvénients excessifs » visés par la loi. Lorsque le premier juge affirme qu'un « droit à la résolution du contrat doit ainsi être reconnu » au demandeur, il ne respecte donc pas la limitation des droits du maître de l'ouvrage de l'article 368 al. 3 CO , sans donner de motivation à ce sujet. Dans un cas semblable, Bühler (op. cit. N. 106 ad art. 368 CO) préconise une réduction de prix à zéro (en cas d'inutilité totale de l'ouvrage). Gauch (op. cit. N. 1640) admet lui aussi, à titre exceptionnel, la réduction du prix à zéro lorsque la résolution du contrat est exclue en application de l'article 368 al. 3 CO . Chaix (op. cit. N. 30 ad art. 368 CO) en fait de même pour un ouvrage privé de toute valeur. Le Tribunal fédéral a certes admis la solution inverse, matériellement (arrêt du 09.01.2006 [4C.345/2005] ), mais sans motivation particulière. En pareille situation, l'application analogique de l'article 205 al. 3 CO est effectivement dépourvue de fondement et, s'il peut sembler singulier de parler de réduction de prix lorsque par hypothèse plus aucun prix n'est dû, une résolution du contrat sans restitution de la prestation caractéristique constitue une figure bien plus singulière encore, de surcroît contraire ici au texte légal. C'est donc bien sous l'angle de l'article 368 al. 2 CO que les droits du demandeur devaient être examinés. L'appelant fait cependant valoir que l'exercice d'un droit formateur est irrévocable et que le « choix de l'un des droits exclut l'exercice des autres », pour reprendre les termes de Chaix (op. cit. N. 9 ad art. 368 CO, avec de nombreuses références ; voir également ATF 136 III 273 ). En l'espèce, le demandeur n'avait pas déclaré résoudre le contrat avant la procédure – il demandait au contraire à l'entrepreneur de lui proposer « une solution équitable », dans son courrier du 4 avril 2009 – mais il l'a fait clairement aux ch. 7 à 11 en droit de la Demande (en écartant l'application de l'art. 368 al. 3 CO aux ch. 12 à 14 du même mémoire). Gauch (op. cit. N. 1591) renvoie, il est vrai, au droit de procédure la question de savoir si et jusqu'à quand le maître peut substituer, en procédure, une déclaration de diminution de prix à celle de résolution du contrat, lorsque l'entrepreneur conteste toute responsabilité pour les défauts. Il est vrai aussi que les conclusions de la Demande eussent été identiques si le demandeur avait prétendu à une réduction du prix à zéro, de sorte que le remplacement d'une déclaration par l'autre n'aurait eu aucune incidence sur ce point. Elle aurait peut-être permis, en revanche, de mieux cerner la question de la valeur résiduelle de l'ouvrage, qui n'a pas été totalement élucidée (voir cons. 2 ci-dessus). Quoi qu'il en soit, le demandeur n'a jamais déclaré modifier, même à titre éventuel, son option de résolution du contrat, qu'il maintient encore dans sa réponse à appel. Le droit à résolution du contrat devant être nié, il s'ensuit, même si ce constat est rigoureux, que la prétention principale du demandeur (en restitution du prix de l'ouvrage) devait être rejetée. Il sied d'ajouter que, même sous l'angle de la réduction de prix, la créance en remboursement du demandeur ne pourrait être arrêtée autrement que par de vagues et insuffisantes conjectures, faute d'approche sérieuse de la valeur de l'ouvrage défectueux. Le demandeur a d'emblée affirmé, en procédure, que cette valeur était nulle et il a agi dans le même sens, en dotant son immeuble d'une isolation périphérique qui réduisait à néant l'utilité éventuelle de l'isolation précédente. Il a établi par l'expertise de preuve à futur que l'ouvrage ne présentait pas la qualité convenue, mais non qu'il était dépourvu de toute utilité ou presque. Or le fardeau de la preuve de la diminution de valeur incombe au maître de l'ouvrage ( Chaix, op. cit. N. 75 ad art. 368 CO ; Gauch , op. cit. N. 1667).</w:t>
      </w:r>
    </w:p>
    <w:p>
      <w:r>
        <w:rPr>
          <w:b/>
        </w:rPr>
        <w:t>E. 5</w:t>
      </w:r>
    </w:p>
    <w:p>
      <w:r>
        <w:t>Le droit aux dommages-intérêts en cas de défaut peut être exercé « [p]arallèlement aux trois voies alternatives prévues par l'art. 368 CO » ( ATF 126 III 388 c. 10 a), de sorte que l'échec de l'action fondée sur la résolution du contrat n'entraîne pas nécessairement le rejet de la prétention d'indemnité. Celle-ci portait sur les frais d'échafaudages de 5'745.85 francs – que le premier juge a mis à la charge de l'entrepreneur – et sur le coût des travaux de peinture, soit 4'757.15 francs dont le premier juge a considéré que le lien avec l'immeuble litigieux n'était pas établi, ce que le demandeur ne remet pas en cause dans son appel joint. a) Le droit de demander des dommages-intérêts suppose une faute de l'entrepreneur. Celle-ci est présumée et il appartient à l'entrepreneur de se disculper. A cet égard, on rappellera que l 'entrepreneur « assume un devoir de diligence (cf. art . 364 al. 1 CO en relation avec l'art. 321a al. 1 CO ) dont découlent des devoirs de renseigner et conseiller le maître. Compte tenu de sa qualité de spécialiste, l'entrepreneur doit signaler toute circonstance importante pour l'exécution de l'ouvrage ( ATF 129 III 604 cons. 4.1). S'il a connaissance d'éléments susceptibles de compromettre l'exécution de l'ouvrage, il doit les communiquer immédiatement au maître (François Chaix, La violation par l'entrepreneur de ses devoirs d'information vis-à-vis du maître de l'ouvrage, SJ 2009 II p. 121 n° 10) » (arrêt du TF du 23.01.2012 [4A_608/2011 ] ). En l'espèce, l'appelant a convaincu son client, pourtant sceptique quant à l'application de la méthode d'isolation par laine de pierre (vu les renseignements dissuasifs reçus de l'entreprise A.), que celle-ci était susceptible d'améliorer de façon importante l'isolation thermique de son immeuble, la promesse d'une diminution de plus de moitié du coefficient U étant manifestement destinée à emporter la conviction du maître de l'ouvrage. Une telle assurance sous-estimait clairement l'effet des ponts de froid, « dans une proportion que l'entreprise X. n'a manifestement pas identifiée » selon l'expertise et elle constituait une violation de l'obligation de diligence, imputable à faute, malgré le respect par ailleurs des règles de l'art dans l'exécution. b) Il convient ensuite de déterminer si les frais de pose de l'échafaudage entrent dans le dommage consécutif au défaut. A cet égard, le raisonnement du premier juge - selon lequel l'utilité de l'échafaudage pour les travaux de peinture importait peu puisque le maître de l'ouvrage ne les aurait jamais commandés s'il avait su qu'il ferait poser peu après une isolation périphérique – présuppose que celle-ci était indispensable vu le résultat insuffisant des travaux litigieux, alors que cela n'est pas établi. La nécessité – ou du moins l'utilité marquée – de l'échafaudage pour l'infiltration de la laine de pierre doit toutefois être admise : d'une part, le demandeur y faisait clairement référence dans son acceptation du devis de l'entrepreneur, sans que celui-ci ne le contredise, ce qui établit à satisfaction que les parties en étaient convenues ; d'autre part, si l'appelant affirme qu'il aurait pu pratiquer l'infiltration au moyen d'une échelle – ce qui suscite tout de même certaines interrogations de sécurité –, il admet qu'en pareil cas, le prix unitaire aurait été plus élevé, ce qui aurait compensé pour une bonne part (quoique non déterminée précisément) le coût de l'échafaudage. Celui-ci était bien sûr utile aussi pour des travaux de peinture que l'isolation à la laine de pierre n'imposait pas et que le propriétaire de l'immeuble a choisi de faire exécuter conjointement. Le rapport de coûts des travaux (en retenant pour ceux de peinture celui allégué par le demandeur, certainement pas inférieur à la réalité), d'environ un à quatre, suffit à démontrer que la peinture était refaite à l'occasion de l'isolation, et non l'inverse. Pour tenir compte néanmoins de cet avantage, il serait équitable de ramener à 5'000 francs les frais d'échafaudage indemnisables du fait du défaut. c) L'indemnité en cause ne trouve cependant de justification que dans la mesure où les travaux d'isolation défectueux entraînent une diminution de leur prix. Comme dit plus haut, la valeur de l'ouvrage défectueux n'a pas été établie avec précision et le demandeur doit en assumer les conséquences. Néanmoins, il peut être tenu pour certain, vu le clair non-respect de la qualité – trop élevée – promise d'isolation, que la valeur de l'ouvrage défectueux n'excédait pas la moitié du prix convenu, approximation très grossière mais suffisante pour trancher le sort de frais accessoires. La prétention du demandeur sera donc admise à concurrence de 2'500 francs avec intérêts à 5 % l'an dès la première mise en demeure figurant au dossier, soit dès le dépôt de la Demande. Sur l'appel-joint</w:t>
      </w:r>
    </w:p>
    <w:p>
      <w:r>
        <w:rPr>
          <w:b/>
        </w:rPr>
        <w:t>E. 6</w:t>
      </w:r>
    </w:p>
    <w:p>
      <w:r>
        <w:t>L'appel principal étant admis dans une large mesure, le sort des frais et dépens de première instance doit être revu fondamentalement, de sorte que l'appel joint, qui perd ainsi tout fondement, doit formellement être rejeté. La demande étant écartée presque en intégralité, les frais de première instance, y compris ceux de preuve à futur, seront supportés par le demandeur à raison de 9/10 et par le défendeur pour le solde, le premier devant par ailleurs au second une indemnité de dépens de 8'000 francs.</w:t>
      </w:r>
    </w:p>
    <w:p>
      <w:r>
        <w:rPr>
          <w:b/>
        </w:rPr>
        <w:t>E. 7</w:t>
      </w:r>
    </w:p>
    <w:p>
      <w:r>
        <w:t>Vu le sort de l'appel, les frais judiciaires, avancés à raison de 2'000 francs par l'appelant et de 600 francs par l'appelant joint seront mis à charge de ce dernier à raison de 2'300 francs et de l'appelant à raison de 300 francs. L'intimé devra également une indemnité de dépens à l'appelant, dont le montant peut être arrêté équitablement à 2'000 francs, après compensation très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