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CACIV.2014.107 vom 19. März 2015</w:t>
      </w:r>
    </w:p>
    <w:p>
      <w:r>
        <w:t>NE Tribunal cantonal, 2015-03-19, FR</w:t>
      </w:r>
    </w:p>
    <w:p>
      <w:r>
        <w:rPr>
          <w:b/>
        </w:rPr>
        <w:t xml:space="preserve">Quelle: </w:t>
      </w:r>
      <w:r>
        <w:t>https://mcp.opencaselaw.ch/entscheid/ne_gerichte_CACIV.2014.107</w:t>
      </w:r>
    </w:p>
    <w:p>
      <w:r>
        <w:t>FR: NE_GERICHTE CACIV.2014.107 du 19 mars 2015</w:t>
      </w:r>
    </w:p>
    <w:p>
      <w:r>
        <w:t>IT: NE_GERICHTE CACIV.2014.107 del 19 marzo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libération de dette (art. 83, al.</w:t>
      </w:r>
    </w:p>
    <w:p>
      <w:r>
        <w:rPr>
          <w:b/>
        </w:rPr>
        <w:t>E. 2</w:t>
      </w:r>
    </w:p>
    <w:p>
      <w:r>
        <w:t>en constatation (art. 85aLP),</w:t>
      </w:r>
    </w:p>
    <w:p>
      <w:r>
        <w:rPr>
          <w:b/>
        </w:rPr>
        <w:t>E. 3</w:t>
      </w:r>
    </w:p>
    <w:p>
      <w:r>
        <w:t>en revendication (art. 106 à 109 LP),</w:t>
      </w:r>
    </w:p>
    <w:p>
      <w:r>
        <w:rPr>
          <w:b/>
        </w:rPr>
        <w:t>E. 4</w:t>
      </w:r>
    </w:p>
    <w:p>
      <w:r>
        <w:t>en participation (art. 111 LP),</w:t>
      </w:r>
    </w:p>
    <w:p>
      <w:r>
        <w:rPr>
          <w:b/>
        </w:rPr>
        <w:t>E. 5</w:t>
      </w:r>
    </w:p>
    <w:p>
      <w:r>
        <w:t>en revendication de tiers ou de la masse des créanciers (art. 242 LP),</w:t>
      </w:r>
    </w:p>
    <w:p>
      <w:r>
        <w:rPr>
          <w:b/>
        </w:rPr>
        <w:t>E. 6</w:t>
      </w:r>
    </w:p>
    <w:p>
      <w:r>
        <w:t>en contestation de l'état de collocation (art. 148 et 250 LP),</w:t>
      </w:r>
    </w:p>
    <w:p>
      <w:r>
        <w:rPr>
          <w:b/>
        </w:rPr>
        <w:t>E. 7</w:t>
      </w:r>
    </w:p>
    <w:p>
      <w:r>
        <w:t>en constatation de retour à meilleure fortune (art. 265aLP),</w:t>
      </w:r>
    </w:p>
    <w:p>
      <w:r>
        <w:rPr>
          <w:b/>
        </w:rPr>
        <w:t>E. 8</w:t>
      </w:r>
    </w:p>
    <w:p>
      <w:r>
        <w:t>en réintégration des biens soumis au droit de rétention (art. 284 LP);</w:t>
      </w:r>
    </w:p>
    <w:p>
      <w:r>
        <w:t>f. dans les litiges qui sont de la compétence d'une instance cantonale unique en vertu des art. 5 et 6;</w:t>
      </w:r>
    </w:p>
    <w:p>
      <w:r>
        <w:t>g. en cas d'intervention principale, de demande reconventionnelle ou d'appel en cause;</w:t>
      </w:r>
    </w:p>
    <w:p>
      <w:r>
        <w:t>h. lorsque le tribunal a fixé un délai pour le dépôt de la demande.</w:t>
      </w:r>
    </w:p>
    <w:p>
      <w:r>
        <w:t>1RS281.1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