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CACIV.2014.101 vom 16. Dezember 2015</w:t>
      </w:r>
    </w:p>
    <w:p>
      <w:r>
        <w:t>NE Tribunal cantonal, 2015-12-16, FR</w:t>
      </w:r>
    </w:p>
    <w:p>
      <w:r>
        <w:rPr>
          <w:b/>
        </w:rPr>
        <w:t xml:space="preserve">Quelle: </w:t>
      </w:r>
      <w:r>
        <w:t>https://mcp.opencaselaw.ch/entscheid/ne_gerichte_CACIV.2014.101</w:t>
      </w:r>
    </w:p>
    <w:p>
      <w:r>
        <w:t>FR: NE_GERICHTE CACIV.2014.101 du 16 décembre 2015</w:t>
      </w:r>
    </w:p>
    <w:p>
      <w:r>
        <w:t>IT: NE_GERICHTE CACIV.2014.101 del 16 dicembre 2015</w:t>
      </w:r>
    </w:p>
    <w:p>
      <w:pPr>
        <w:pStyle w:val="Heading2"/>
      </w:pPr>
      <w:r>
        <w:t>Erwägungen</w:t>
      </w:r>
    </w:p>
    <w:p>
      <w:r>
        <w:rPr>
          <w:b/>
        </w:rPr>
        <w:t>E. 1</w:t>
      </w:r>
    </w:p>
    <w:p>
      <w:r>
        <w:t>Les faits et moyens de preuve nouveaux ne sont admis aux débats principaux que s'ils sont invoqués sans retard et qu'ils remplissent l'une des conditions suivantes: a. ils sont postérieurs à l'échange d'écritures ou à la dernière audience d'instruction ou ont été découverts postérieurement (novas proprement dits); b. ils existaient avant la clôture de l'échange d'écritures ou la dernière audience d'instruction mais ne pouvaient être invoqués antérieurement bien que la partie qui s'en prévaut ait fait preuve de la diligence requise (novas improprement dits).</w:t>
      </w:r>
    </w:p>
    <w:p>
      <w:r>
        <w:rPr>
          <w:b/>
        </w:rPr>
        <w:t>E. 2</w:t>
      </w:r>
    </w:p>
    <w:p>
      <w:r>
        <w:t>S'il n'y a pas eu de second échange d'écritures ni de débats d'instruction, les faits et moyens de preuves nouveaux sont admis à l'ouverture des débats principaux.</w:t>
      </w:r>
    </w:p>
    <w:p>
      <w:r>
        <w:rPr>
          <w:b/>
        </w:rPr>
        <w:t>E. 3</w:t>
      </w:r>
    </w:p>
    <w:p>
      <w:r>
        <w:t>Si l'ensemble des créanciers renonce à faire valoir une prétention et qu'aucun d'eux n'en demande la cession, cette prétention peut être réalisée conformément à l'art. 256. 2 1 Nouvelle teneur selon le ch. I de la LF du 16 déc. 1994, en vigueur depuis le 1 er janv. 1997 (RO 1995 1227; FF 1991 III 1). 2 Introduit par le ch. I de la LF du 16 déc. 1994, en vigueur depuis le 1 er janv. 1997 (RO 1995 1227; FF 1991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