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CACIV.2012.76 vom 26. März 2013</w:t>
      </w:r>
    </w:p>
    <w:p>
      <w:r>
        <w:t>NE Tribunal cantonal, 2013-03-26, FR</w:t>
      </w:r>
    </w:p>
    <w:p>
      <w:r>
        <w:rPr>
          <w:b/>
        </w:rPr>
        <w:t xml:space="preserve">Quelle: </w:t>
      </w:r>
      <w:r>
        <w:t>https://mcp.opencaselaw.ch/entscheid/ne_gerichte_CACIV.2012.76</w:t>
      </w:r>
    </w:p>
    <w:p>
      <w:r>
        <w:t>FR: NE_GERICHTE CACIV.2012.76 du 26 mars 2013</w:t>
      </w:r>
    </w:p>
    <w:p>
      <w:r>
        <w:t>IT: NE_GERICHTE CACIV.2012.76 del 26 marzo 2013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Mal fondé, l'appel sera rejeté aux frais de son auteur, lequel sera par ailleurs condamné à verser à l'intimé 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