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CACIV.2012.103 vom 15. März 2013</w:t>
      </w:r>
    </w:p>
    <w:p>
      <w:r>
        <w:t>NE Tribunal cantonal, 2013-03-15, FR</w:t>
      </w:r>
    </w:p>
    <w:p>
      <w:r>
        <w:rPr>
          <w:b/>
        </w:rPr>
        <w:t xml:space="preserve">Quelle: </w:t>
      </w:r>
      <w:r>
        <w:t>https://mcp.opencaselaw.ch/entscheid/ne_gerichte_CACIV.2012.103</w:t>
      </w:r>
    </w:p>
    <w:p>
      <w:r>
        <w:t>FR: NE_GERICHTE CACIV.2012.103 du 15 mars 2013</w:t>
      </w:r>
    </w:p>
    <w:p>
      <w:r>
        <w:t>IT: NE_GERICHTE CACIV.2012.103 del 15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faits et moyens de preuve nouveaux ne sont pris en compte qu'aux conditions suivantes: a. ils sont invoqués ou produits sans retard; b. ils ne pouvaient être invoqués ou produits devant la première instance bien que la partie qui s'en prévaut ait fait preuve de la diligence requise.</w:t>
      </w:r>
    </w:p>
    <w:p>
      <w:r>
        <w:rPr>
          <w:b/>
        </w:rPr>
        <w:t>E. 2</w:t>
      </w:r>
    </w:p>
    <w:p>
      <w:r>
        <w:t>La demande ne peut être modifiée que si: a. les conditions fixées à l'art. 227, al. 1, sont remplies; b. la modification repose sur des faits ou des moyens de preuve nouveaux.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