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CACIV.2011.24 vom 17. Juni 2011</w:t>
      </w:r>
    </w:p>
    <w:p>
      <w:r>
        <w:t>NE Tribunal cantonal, 2011-06-17, FR</w:t>
      </w:r>
    </w:p>
    <w:p>
      <w:r>
        <w:rPr>
          <w:b/>
        </w:rPr>
        <w:t xml:space="preserve">Quelle: </w:t>
      </w:r>
      <w:r>
        <w:t>https://mcp.opencaselaw.ch/entscheid/ne_gerichte_CACIV.2011.24</w:t>
      </w:r>
    </w:p>
    <w:p>
      <w:r>
        <w:t>FR: NE_GERICHTE CACIV.2011.24 du 17 juin 2011</w:t>
      </w:r>
    </w:p>
    <w:p>
      <w:r>
        <w:t>IT: NE_GERICHTE CACIV.2011.24 del 17 giugno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faits et moyens de preuve nouveaux ne sont pris en compte qu’aux conditions suivantes: a. ils sont invoqués ou produits sans retard; b. ils ne pouvaient être invoqués ou produits devant la première instance bien que la partie qui s’en prévaut ait fait preuve de la diligence requise.</w:t>
      </w:r>
    </w:p>
    <w:p>
      <w:r>
        <w:rPr>
          <w:b/>
        </w:rPr>
        <w:t>E. 2</w:t>
      </w:r>
    </w:p>
    <w:p>
      <w:r>
        <w:t>Lorsque les époux reprennent la vie commune, les mesures ordonnées en vue de la vie séparée sont caduques, à l’exception de la séparation de biens et des mesures de protection de l’enfant. 1 Nouvelle teneur selon le ch. I 4 de la LF du 26 juin 1998, en vigueur depuis le 1 er janv. 2000 ( RO 1999 1118 ; FF 1996 I 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