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ATS.1998.2768 vom 14. März 1996</w:t>
      </w:r>
    </w:p>
    <w:p>
      <w:r>
        <w:t>NE Tribunal cantonal, 1996-03-14, FR</w:t>
      </w:r>
    </w:p>
    <w:p>
      <w:r>
        <w:rPr>
          <w:b/>
        </w:rPr>
        <w:t xml:space="preserve">Quelle: </w:t>
      </w:r>
      <w:r>
        <w:t>https://mcp.opencaselaw.ch/entscheid/ne_gerichte_ATS.1998.2768_d19960314</w:t>
      </w:r>
    </w:p>
    <w:p>
      <w:r>
        <w:t>FR: NE_GERICHTE ATS.1998.2768 du 14 mars 1996</w:t>
      </w:r>
    </w:p>
    <w:p>
      <w:r>
        <w:t>IT: NE_GERICHTE ATS.1998.2768 del 14 marzo 1996</w:t>
      </w:r>
    </w:p>
    <w:p>
      <w:pPr>
        <w:pStyle w:val="Heading2"/>
      </w:pPr>
      <w:r>
        <w:t>Regeste</w:t>
      </w:r>
    </w:p>
    <w:p>
      <w:r>
        <w:t>Partage successoral; attribution d'un immeuble à un cohéritier; autorité compétente pour donner son consentement en présence d'héritiers mineurs.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question de savoir si l'article 404 al. 3 CC est ou non applicable lorsqu'au cours d'un partage un immeuble est attribué à l'un des cohéritiers est controversée en doctrine (Meier, Le consentement des autorités de tutelle aux actes du tuteur, Fribourg, 1994, p. 336-343 et les références citées). Dans un arrêt récent ( ATF 117 II 18 , JT 1994 I 87 cons. 4a ), le Tribunal fédéral l'a évoquée, tout en la laissant ouverte; en effet, si l'un des cohéritiers figurait en tant qu'acquéreur in casu, les deux autres acheteurs étaient des personnes étrangères à la communauté héréditaire, de sorte que le consentement de l'Autorité tutélaire de surveillance était requis. A ce jour, la jurisprudence cantonale ne s'est pas non plus prononcée sur la question.</w:t>
      </w:r>
    </w:p>
    <w:p>
      <w:r>
        <w:rPr>
          <w:b/>
        </w:rPr>
        <w:t>E. 2</w:t>
      </w:r>
    </w:p>
    <w:p>
      <w:r>
        <w:t>Dans le cas particulier, le contrat projeté attribue un immeuble dépendant de la succession en propriété à l'un des héritiers et doit à ce titre être considéré comme un contrat de partage (ATF 79 I 182/187). Dans de telles circonstances, l'approbation de l'autorité tutélaire est nécessaire et suffisante en application de l'article 421 ch. 9 CC. L'examen auquel elle doit procéder est garant de la sauvegarde des intérêts du pupille. Il comprend en particulier la vérification que l'offre formulée par l'héritier attributaire est conforme à la valeur vénale de l'immeuble, laquelle doit être -- comme en l'espèce -- fixée par expertise. En outre, le fait que tous les héritiers sont d'accord avec le transfert constituera généralement un indice supplémentaire que la valeur attribuée à l'immeuble est convenable. Compte tenu de ce qui précède, l'Autorité tutélaire de surveillance estime dès lors que son consentement n'est pas requis en l'espèce et que l'opération projetée est soumise à l'approbation de l'Autorité tutélaire du district de Boudry.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