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ASSLP.2021.9 vom 8. Dezember 2021</w:t>
      </w:r>
    </w:p>
    <w:p>
      <w:r>
        <w:t>NE Tribunal cantonal, 2021-12-08, FR</w:t>
      </w:r>
    </w:p>
    <w:p>
      <w:r>
        <w:rPr>
          <w:b/>
        </w:rPr>
        <w:t xml:space="preserve">Quelle: </w:t>
      </w:r>
      <w:r>
        <w:t>https://mcp.opencaselaw.ch/entscheid/ne_gerichte_ASSLP.2021.9</w:t>
      </w:r>
    </w:p>
    <w:p>
      <w:r>
        <w:t>FR: NE_GERICHTE ASSLP.2021.9 du 8 décembre 2021</w:t>
      </w:r>
    </w:p>
    <w:p>
      <w:r>
        <w:t>IT: NE_GERICHTE ASSLP.2021.9 del 8 dicembre 2021</w:t>
      </w:r>
    </w:p>
    <w:p>
      <w:pPr>
        <w:pStyle w:val="Heading2"/>
      </w:pPr>
      <w:r>
        <w:t>Erwägungen</w:t>
      </w:r>
    </w:p>
    <w:p>
      <w:r>
        <w:rPr>
          <w:b/>
        </w:rPr>
        <w:t>E. 1</w:t>
      </w:r>
    </w:p>
    <w:p>
      <w:r>
        <w:t>Interjeté dans les formes et délai légaux, le recours est recevable.</w:t>
      </w:r>
    </w:p>
    <w:p>
      <w:r>
        <w:rPr>
          <w:b/>
        </w:rPr>
        <w:t>E. 2</w:t>
      </w:r>
    </w:p>
    <w:p>
      <w:r>
        <w:t>L’Autorité de céans examine d'office les conditions formelles de validité et la régularité de la procédure administrative suivie devant les autorités précédentes (arrêt de la Cour de droit public du 13.07.2016 [ CDP.2016.31 ] cons. 1b). Cet examen porte en particulier sur le point de savoir si c’est à juste titre que la juridiction inférieure est entrée en matière sur la plainte dont elle était saisie.</w:t>
      </w:r>
    </w:p>
    <w:p>
      <w:r>
        <w:rPr>
          <w:b/>
        </w:rPr>
        <w:t>E. 3</w:t>
      </w:r>
    </w:p>
    <w:p>
      <w:r>
        <w:t>L’article 17 LP prévoit que,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ou encore d’un acte juridique dont l’objet est de déterminer des droits subjectifs ou des obligations de nature processuelle ; il doit s’agir d'un acte matériel qui a pour objet la continuation ou l'achèvement de la procédure d'exécution forcée et qui produit des effets externes. L’acte de poursuite doit être de nature à créer, modifier ou supprimer une situation du droit de l’exécution forcée dans l’affaire en question ( ATF 142 III 643 cons. 3.1 et les références citées). Compte tenu de la jurisprudence relative à l’impossibilité pour le créancier cessionnaire d’intervenir dans un litige pénal auquel est intéressée la masse en faillite ( ATF 140 IV 155 ), le recourant a demandé à ce que l’office des faillites lui délivre une procuration au sens des articles 32 et suivants CO de manière à pouvoir représenter la masse en faillite dans le cadre de la procédure. Le litige porte ainsi sur le refus de l’office des faillites d’accéder à cette demande, refus confirmé par l’AiSLP. De jurisprudence constante, la conclusion d’un contrat de droit privé ne constitue pas une mesure du droit de l’exécution forcée au sens de l’article 17 LP qui pourrait faire l’objet d’une plainte devant l’autorité de surveillance. Or, la désignation d’un représentant au sens des articles 32 et suivants CO pour représenter l’administration de la masse en faillite dans une procédure pénale est un acte juridique fondé sur le droit privé. Cet acte ne relève ainsi pas du droit de l’exécution forcée et il n’a pas pour objet la continuation ou l’achèvement de la procédure d’exécution forcée dès lors qu’elle concerne la participation de l’administration à une procédure pénale. La décision d’avoir recours à un représentant, tout comme celle de ne pas recourir à un représentant, n’est ainsi par constitutive d’une mesure au sens de l’article 17 LP , de sorte qu’elle est soustraite à la voie de la plainte (arrêts du TF des 03.11.2008 [5A_142/2008] cons. 4 et 14.07.2003 [7B.147/2003] cons. 1.1 et 1.2 et les références citées).</w:t>
      </w:r>
    </w:p>
    <w:p>
      <w:r>
        <w:rPr>
          <w:b/>
        </w:rPr>
        <w:t>E. 4</w:t>
      </w:r>
    </w:p>
    <w:p>
      <w:r>
        <w:t>Il découle de ce qui précède que le recours est mal fondé, de sorte qu’il doit être rejeté. Par ailleurs, dans la mesure où c’est à tort que l’AiSLP est entrée en matière sur la plainte, il convient de réformer la décision attaquée en ce sens que la plainte du 21 janvier 2021 est irrecevable.</w:t>
      </w:r>
    </w:p>
    <w:p>
      <w:r>
        <w:rPr>
          <w:b/>
        </w:rPr>
        <w:t>E. 5</w:t>
      </w:r>
    </w:p>
    <w:p>
      <w:r>
        <w:t>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