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ASLP.1996.4 vom 19. Februar 1996</w:t>
      </w:r>
    </w:p>
    <w:p>
      <w:r>
        <w:t>NE Tribunal cantonal, 1996-02-19, FR</w:t>
      </w:r>
    </w:p>
    <w:p>
      <w:r>
        <w:rPr>
          <w:b/>
        </w:rPr>
        <w:t xml:space="preserve">Quelle: </w:t>
      </w:r>
      <w:r>
        <w:t>https://mcp.opencaselaw.ch/entscheid/ne_gerichte_ASLP.1996.4</w:t>
      </w:r>
    </w:p>
    <w:p>
      <w:r>
        <w:t>FR: NE_GERICHTE ASLP.1996.4 du 19 février 1996</w:t>
      </w:r>
    </w:p>
    <w:p>
      <w:r>
        <w:t>IT: NE_GERICHTE ASLP.1996.4 del 19 febbraio 1996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Rejette la plainte.</w:t>
      </w:r>
    </w:p>
    <w:p>
      <w:r>
        <w:rPr>
          <w:b/>
        </w:rPr>
        <w:t>E. 2</w:t>
      </w:r>
    </w:p>
    <w:p>
      <w:r>
        <w:t>Dit qu'il est statué sans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