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ARMP.2025.159 vom 8. Januar 2026</w:t>
      </w:r>
    </w:p>
    <w:p>
      <w:r>
        <w:t>NE Tribunal cantonal, 2026-01-08, FR</w:t>
      </w:r>
    </w:p>
    <w:p>
      <w:r>
        <w:rPr>
          <w:b/>
        </w:rPr>
        <w:t xml:space="preserve">Quelle: </w:t>
      </w:r>
      <w:r>
        <w:t>https://mcp.opencaselaw.ch/entscheid/ne_gerichte_ARMP.2025.159</w:t>
      </w:r>
    </w:p>
    <w:p>
      <w:r>
        <w:t>FR: NE_GERICHTE ARMP.2025.159 du 8 janvier 2026</w:t>
      </w:r>
    </w:p>
    <w:p>
      <w:r>
        <w:t>IT: NE_GERICHTE ARMP.2025.159 del 8 gennaio 2026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CPP.</w:t>
      </w:r>
    </w:p>
    <w:p>
      <w:r>
        <w:t>5.Notifie le présent arrêt à A.________, par Me E.________, au Ministère public, à La Chaux-de-Fonds (MP.2024.2786), et au Tribunal des mesures de contrainte des Montagnes et du Val-de-Ruz, au même lieu (TMC.2024.63).</w:t>
      </w:r>
    </w:p>
    <w:p>
      <w:r>
        <w:t>Neuchâtel, le 8 janvier 2026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