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ARMP.2025.131 vom 23. Januar 2026</w:t>
      </w:r>
    </w:p>
    <w:p>
      <w:r>
        <w:t>NE Tribunal cantonal, 2026-01-23, FR</w:t>
      </w:r>
    </w:p>
    <w:p>
      <w:r>
        <w:rPr>
          <w:b/>
        </w:rPr>
        <w:t xml:space="preserve">Quelle: </w:t>
      </w:r>
      <w:r>
        <w:t>https://mcp.opencaselaw.ch/entscheid/ne_gerichte_ARMP.2025.131</w:t>
      </w:r>
    </w:p>
    <w:p>
      <w:r>
        <w:t>FR: NE_GERICHTE ARMP.2025.131 du 23 janvier 2026</w:t>
      </w:r>
    </w:p>
    <w:p>
      <w:r>
        <w:t>IT: NE_GERICHTE ARMP.2025.131 del 23 gennaio 2026</w:t>
      </w:r>
    </w:p>
    <w:p>
      <w:pPr>
        <w:pStyle w:val="Heading2"/>
      </w:pPr>
      <w:r>
        <w:t>Erwägungen</w:t>
      </w:r>
    </w:p>
    <w:p>
      <w:r>
        <w:rPr>
          <w:b/>
        </w:rPr>
        <w:t>E. 13</w:t>
      </w:r>
    </w:p>
    <w:p>
      <w:r>
        <w:t>ad art. 115).Par exemple,une société dassurance-maladie complémentaire nest pas en charge de la gestion du patrimoine de ses assurés, qui ne sont donc pas lésés directement si les administrateurs ou les gérants de lassurance commettent des actes dommageables du fait de leur mandat (arrêt du TF du 24.09.2013 [1B_294/2013] cons. 2).</w:t>
      </w:r>
    </w:p>
    <w:p>
      <w:r>
        <w:t>e) Le recourant estime que B.________ se serait rendu coupable de gestion déloyale en ne linformant pas de la faillite de la société C.________ Sàrl. Or on ne voit pas en quoi le fait de ne pas informer lautre gérant de la mise en faillite porterait atteinte aux intérêts pécuniaires de la société. Il ny a donc pas là a fortiori datteinte directe à des droits du recourant lui-même. Certes, ce dernier indique, au stade du recours, quavant la faillite, B.________ se serait versé des salaires, comme en attestait le décompte de décembre 2021, et que cette manuvre visait à léser le plaignant, dans la mesure où un éventuel bénéfice de faillite aurait pu lui revenir. Le recourant considère quen« se servant directement sur les comptes de la société, le prévenu a ainsi privilégié ses propres intérêts au détriment de ceux de lentreprise et de son coassocié». Or on se trouve là exactement dans la situation visée par les extraits de jurisprudence précités (let. d), soit une infraction éventuelle perpétrée au détriment du patrimoine dune personne morale. La société nétait pas en faillite lors des versements litigieux (lentrée en liquidation était curieusement déjà intervenue en février 2022 doù il ressort que le recourant devait être informé de la dissolution puisquil a signé la feuille de présence chez le notaire], avant même sa faillite prononcée le 09.11.2022, mais peu importe puisque les versements litigieux datent de décembre 2021). Cest alors la société  et elle seule  qui subirait un dommage par des versements intervenus en décembre 2021. On précisera que le versement par la société de salaires indus donnerait lieu à une créance de la société contre le bénéficiaire de la prestation sans fondement et que le paiement par la société dune dette existante envers un tiers ne ferait quéteindre cette dette. En conséquence ici (paiement avant la dissolution de la société), seule la société pourrait (dans lhypothèse dune gestion déloyale) prétendre à la qualité de lésée, à lexclusion notamment des actionnaires ou porteurs de parts, ce qui doit sétendre également aux associés dans une société à responsabilité limitée. Le recours est ainsi irrecevable sous langle de larticle 158 CP. Au demeurant, on observe que le fait, par hypothèse, de ne pas informer lautre associé de la mise en faillite de la société ne constitue pas encore un comportement tombant sous le coup de larticle 158 CP relatif à la gestion déloyale, puisque cette infraction nécessite que lacte reproché porte atteinte aux intérêts pécuniaires qui doivent être gérés ou permette que ces intérêts soient lésés (art. 158 ch. 1 CP).</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vraisemblable.Lappréciation juridique des faits doit être effectuée sur la base dun état de fait établi, soit sur la base de faits clairs (arrêt du TF du 17.04.2023 [6B_764/2022] cons. 5.3). 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4.a) Daprès l'article 251 ch. 1 CP, se rend coupable de faux dans les titres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b) Sont des titres tous les écrits destinés et propres à prouver un fait ayant une portée juridique et tous les signes destinés à prouver un tel fait (art. 110 al. 4 CP).</w:t>
      </w:r>
    </w:p>
    <w:p>
      <w:r>
        <w:t>c) L'article 251 ch. 1 CP vise non seulement un titre faux ou la falsification d'un titre (faux matériel), mais aussi un titre mensonger (faux intellectuel). Il y a faux matériel lorsque l'auteur réel du document ne correspond pas à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Pour que le mensonge soit punissable comme faux intellectuel, il faut que le document ait une valeur probante plus grande que dans l'hypothèse d'un faux matériel. On parle de valeur probante accrue (arrêt du TF du 27.06.2025 [7B_742/2023] cons. 3.2).</w:t>
      </w:r>
    </w:p>
    <w:p>
      <w:r>
        <w:t>d) Dans un arrêt récent, lAutorité de céans a considéré que le carnet dentretien dun véhicule automobile, qui mentionnait notamment les services dentretien réalisés, navait pas une valeur probante accrue, au sens de la jurisprudence rappelée ci-dessus, ce qui excluait le faux dans les titres (arrêt de lAutorité de céans du 17.10.2025 [ARMP.2025.95] cons. 3.4 let. c).</w:t>
      </w:r>
    </w:p>
    <w:p>
      <w:r>
        <w:t>e) Le recourant soutient ici que le document en question (figurant sous D. 200 : «Calendrier des travaux mai-août 2021 C.________») a été créé dans le but dêtre utilisé comme preuve dans une procédure judiciaire et quil constituait dès lors un titre au sens juridique. Ce titre attestait faussement que le prévenu aurait travaillé selon un planning, le document étant créé précisément pour justifier la réclamation dun salaire dans une autre procédure, ce qui avait pour seule finalité de faire succomber le plaignant. En lien avec le moment du dépôt de la plainte, le recourant soutient quil ignorait tout du document litigieux jusquau moment de la procédure en droit du travail.</w:t>
      </w:r>
    </w:p>
    <w:p>
      <w:r>
        <w:t>f) En lien tout dabord avec ce que la procureure a appelé lemomentumdu dépôt de la plainte, on ne comprend pas le grief du recourant. Il ressort en effet du dossier quen plus davoir été produit une première fois à lappui des prétentions prudhommales de B.________, le 9 mai 2022, il en a été clairement question lors de laudience du 20 juin 2023 devant le Tribunal de police, en lien avec la gestion déloyale reprochée à A.________. Le décompte dheures des mois de mai à juillet 2021 a alors été produit, avec copie à son mandataire, Me H.________, et celui-ci sétait «réserv[é] de déposer plainte pénale contre le plaignant pour faux dans les titres sagissant du document déposé figurant sous titre D. 23» (D. 354in fine, la pièce D. 23 du dossier de police correspondant à D. 200 du dossier du MP dans la présente procédure). La procureure pouvait donc légitimement sinterroger sur le sens dune plainte pénale déposée en 2024 pour des faits connus dès 2022 et évoqués sous langle dun prétendu faux dans les titres en 2023 déjà.</w:t>
      </w:r>
    </w:p>
    <w:p>
      <w:r>
        <w:t>Le document litigieux, non signé, consiste en une liste de clients auxquels C.________ Sàrl aurait fourni des prestations, avec la date dintervention, le projet réalisé, par qui il la été et le montant facturé. Le recourant nindique pas, comme le souligne la procureure, quels éléments de ce document seraient faux. On relève aussi que même sil avait été créé pour les besoins de la cause prudhommale, on verrait mal quelle en serait lutilité concrète puisque si lidentité de la personne qui a réalisé le projet apparaît, le nombre dheures réalisées ny figure pas. Il est absolument certain que, sur cette base, un juge civil ne pourrait se prononcer avec toute la précision voulue sur des prétentions en paiement de salaire, en fonction dun certain nombre dheures réalisées, ceci dautant plus que beaucoup dinterventions ont été réalisées par deux, voire trois intervenants. En plus donc de ne pas savoir en quoi les éléments qui figurent sur le document ne seraient pas conformes à la réalité, on ne voit donc ni en quoi le document pourrait avoir une valeur probante accrue, nécessaire à ce quon le considère comme un titre, ni comment le document aurait à lui seul permis à B.________ dobtenir gain de cause dans la procédure civile, sachant quil a admis lavoir rédigé lui-même et que cet aspect a dû être pris en compte dans le cadre de lappréciation des preuves par le juge civil. Au demeurant, il ny a rien dinsolite à dresser un planning des interventions de chacun, alors même que lentreprise naurait eu aucun employé à cette époque (au sens du droit du travail), ne serait-ce que pour avoir une trace des interventions effectuées auprès des clients. Le recourant qualifie le document de «planning», alors quil sagit dun calendrier des travaux, qui documente lactivité de la société plus quil norganise les interventions quotidiennes des différents travailleurs. À ce titre, si ces interventions peuvent être organisées et affinées au quotidien par le biais de messages WhatsApp, un calendrier des travaux avec le suivi des lieux dintervention, du type de projet et des montants générés nest pas surprenant pour qui veut gérer avec soin une activité économique. Un tel document, de surcroît ni signé ni daté, qui laisse une trace des activités, nest pas un titre, même sil est produit dans une procédure judiciaire et a été conçu à partir de souvenirs de lun des plaideurs. En plus de ne pas revêtir la qualité de titre, on voit encore moins sur quelle base on pourrait dire quil incorporerait des éléments assurément faux. La non-entrée en matière se justifiait pleinement.</w:t>
      </w:r>
    </w:p>
    <w:p>
      <w:r>
        <w:t>5.Le recourant se plaint encore dune atteinte à son honneur.</w:t>
      </w:r>
    </w:p>
    <w:p>
      <w:r>
        <w:t>a) Larticle 173 CP, relatif à la diffamation, sanctionne quiconque, en sadressant à un tiers, accuse une personne ou jette sur elle le soupçon de tenir une conduite contraire à lhonneur, ou de tout autre fait propre à porter atteinte à sa considération, ainsi que celui qui propage une telle accusation ou un tel soupçon.</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La réputation relative à l'activité professionnelle ou au rôle joué dans la communauté n'est pas pénalement protégée.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Les mêmes termes n'ont pas nécessairement la même portée suivant le contexte dans lequel ils sont employés (arrêt du TF du 17.01.2025 [6B_425/2024] cons. 3.2).</w:t>
      </w:r>
    </w:p>
    <w:p>
      <w:r>
        <w:t>La calomnie de larticle 174 CP se distingue de la diffamation par le fait que la personne qui accuse une personne ou jette sur elle le soupçon de tenir une conduite contraire à lhonneur connaît la fausseté de ces allégations.</w:t>
      </w:r>
    </w:p>
    <w:p>
      <w:r>
        <w:t>b) Indépendamment de la question de lintention quaurait eue le prévenu de porter atteinte à lhonneur du recourant, il faut dabord se pencher sur les expressions dont il est soutenu quelles seraient attentatoires à lhonneur. Les éléments litigieux sont contenus dans un courriel adressé le 7 juillet 2022 à 14h50 par B.________ à G.________ (désigné comme «sous-traitant»). On y lit en particulier que lauteur du message a besoin de laide de son interlocuteur pour certains points, en particulier dans le cadre dun témoignage au tribunal concernant, dune part, des arriérés de salaires et, dautre part, des «détournements de fonds de C.________». Dans ce cadre, B.________ indiquait à son interlocuteur que «A.________ a détourné CHF 40'278.00 en facturant ces uvres avec son compte personnel» et quil «a transféré 15'000.00 CHF du compte C.________ vers son compte personnel sans justificatif». Il exposait ensuite (texte reproduit tel quel) : «Jai proposé à A.________ une conciliation judiciaire mais au lieu de laccepter, A.________ a décidé de mentir au juge dans ses déclarations et cela lui apportera des problèmes beaucoup plus graves quil nen avait, maintenant il doit déclarer ses déclarations sous serment et ensuite il doit les prouver, sachant à la fois que cest un mensonge commet le crime deparjure, ce qui apportera de nouveaux problèmes juridiques», puis plus loin : «Pour ce niveau, ses mensonges sont déjà évidents, il ny a que 2 personnes aussi peu scrupuleuses que A.________ capables de mentir sous serment []</w:t>
      </w:r>
    </w:p>
    <w:p>
      <w:r>
        <w:t>6.».</w:t>
      </w:r>
    </w:p>
    <w:p>
      <w:r>
        <w:t>c) La maladresse dun tel courriel, adressé à un témoin dans une procédure civile  dont la crédibilité pourrait être dautant amoindrie que le témoin a été «préparé»  saute aux yeux, mais cela ne conduit pas forcément à ce quon puisse y voir une infraction pénale, spécialement une atteinte à lhonneur. On ne voit ici pas en quoi le fait de présenter, devant le juge civil, une autre version des faits, qualifiée par son adverse partie en procédure de «mensonges», ferait apparaître lintéressé comme méprisable. Dans le cadre dune procédure judiciaire, chaque partie avance sa version des faits et tente de la prouver, ce qui implique souvent, par effet miroir, de considérer que la version de ladverse partie est fausse ou résulte dun mensonge. Laffirmer devant le juge ou même à un témoin (autre étant la question de la prise de contact avec un témoin, le contact préalable étant susceptible de diminuer largement la portée de ses déclarations) nest pas susceptible de porter atteinte à lhonneur de la personne visée. Il sagit au contraire dune façon, en loccurrence pas particulièrement outrancière, de présenter les faits  sur lesquels les parties divergent, comme cela est souvent le cas  et non de le faire apparaître comme une personne méprisable. Retenir que, lorsque, en marge dun procès civil, une personne reproche à son adverse partie de mentir, cela constituerait une infraction pénale sous la forme dune atteinte à lhonneur, impliquerait pour ainsi dire louverture dune instruction pénale à chaque procédure civile. Telle nest assurément pas la portée des articles 173 et 174 CP. Cest ainsi avec raison que la procureure a renoncé à entrer en matière sur la plainte sous langle des articles 173 et 174 CP.</w:t>
      </w:r>
    </w:p>
    <w:p>
      <w:r>
        <w:t>7.Finalement, le recourant ne revient pas sur labus de confiance quil reprochait au prévenu et que la procureure a écarté. Avec raison, car on ne voit pas quelles valeurs auraient été confiées au prévenu, ni en quoi il se les seraient appropriées ou les auraient employées contrairement au but fixé. Il ne se plaint pas non plus que la procureure ait qualifié de «farfelues» les allégations «de faux dans les titres en lien avec la prétendue utilisation indue par B.________ de la signature de son avocat», si bien quil ny a pas lieu dy revenir.</w:t>
      </w:r>
    </w:p>
    <w:p>
      <w:r>
        <w:t>8.Vu ce qui précède, le recours doit être rejeté aux frais de son auteur. Il ny a pas lieu à allocations de dépens, le prévenu B.________ nayant au demeurant pas été invité à se prononcer (art. 390 al. 2 CPP).</w:t>
      </w:r>
    </w:p>
    <w:p>
      <w:r>
        <w:t>Par ces motifs,l'Autorité de recours en matière pénale</w:t>
      </w:r>
    </w:p>
    <w:p>
      <w:r>
        <w:t>1.Rejette le recours.</w:t>
      </w:r>
    </w:p>
    <w:p>
      <w:r>
        <w:t>2.Arrête les frais de la procédure de recours à 1'200 francs et les met à la charge du recourant.</w:t>
      </w:r>
    </w:p>
    <w:p>
      <w:r>
        <w:t>3.Nalloue pas de dépens.</w:t>
      </w:r>
    </w:p>
    <w:p>
      <w:r>
        <w:t>4.Notifie le présent arrêt à A.________, par Me H.________, au Ministère public, à La Chaux-de-Fonds (MP.2024.1325) et à B.________, par Me I.________.</w:t>
      </w:r>
    </w:p>
    <w:p>
      <w:r>
        <w:t>Neuchâtel, le 23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