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ARMP.2024.74 vom 19. August 2024</w:t>
      </w:r>
    </w:p>
    <w:p>
      <w:r>
        <w:t>NE Tribunal cantonal, 2024-08-19, FR</w:t>
      </w:r>
    </w:p>
    <w:p>
      <w:r>
        <w:rPr>
          <w:b/>
        </w:rPr>
        <w:t xml:space="preserve">Quelle: </w:t>
      </w:r>
      <w:r>
        <w:t>https://mcp.opencaselaw.ch/entscheid/ne_gerichte_ARMP.2024.74</w:t>
      </w:r>
    </w:p>
    <w:p>
      <w:r>
        <w:t>FR: NE_GERICHTE ARMP.2024.74 du 19 août 2024</w:t>
      </w:r>
    </w:p>
    <w:p>
      <w:r>
        <w:t>IT: NE_GERICHTE ARMP.2024.74 del 19 agosto 2024</w:t>
      </w:r>
    </w:p>
    <w:p>
      <w:pPr>
        <w:pStyle w:val="Heading2"/>
      </w:pPr>
      <w:r>
        <w:t>Erwägungen</w:t>
      </w:r>
    </w:p>
    <w:p>
      <w:r>
        <w:rPr>
          <w:b/>
        </w:rPr>
        <w:t>E. 4</w:t>
      </w:r>
    </w:p>
    <w:p>
      <w:r>
        <w:t>a) Vu ce qui précède, les frais de la procédure de recours seront laissés à la charge de l’État. b) Le recourant a droit à une indemnité de dépens pour la procédure de recours, à la charge de l’État. Il réclame 3'537.90 francs, dont environ 26 francs de frais effectifs et TVA comprise, pour un peu moins de 10 heures d’activité au tarif de 330 francs l’heure. Se lon l’article 36a LI-CPP (applicable par renvoi de l’art. 424 al. 1 CPP ; cf. ATF 142 IV 163 cons. 3.1.2), l’indemnité pour les frais de défense du prévenu est fixée sur la base d’un tarif horaire, TVA non comprise, de 300 francs pour un avocat et 165 francs pour un stagiaire (al. 1), mais l’autorité peut retenir un tarif horaire supérieur, jusqu’à un maximum de 350 francs, TVA non comprise, lorsque le tarif en question paraît inéquitable au vu de l’importance exceptionnelle de la cause ou des compétences spécifiques qu’elle exige (al. 2). En plus, l’indemnité comprend les frais du mandataire, qui peuvent – si le mandataire ne les chiffre pas – être fixés forfaitairement à 5 % du montant des honoraires (art. 36b LI-CPP ), ainsi que la TVA. Ces règles régissent les indemnités qui peuvent être accordées dans les procédures conduites dans le canton de Neuchâtel, indépendamment du lieu où un mandataire a son Étude. En effet, le Tribunal fédéral retient, au sujet de l’indemnité au sens de l’article 429 al. 1 let. a CPP, que l'indemnité doit correspondre au tarif usuel du barreau applicable dans le canton où la procédure se déroule et que lorsqu'un tarif cantonal existe, il doit être pris en considération pour fixer le montant de l'indemnisation (arrêt du TF du 20.09.2023 [7B_56/2022] cons. 4.1.2 ; cf. aussi plus haut). Dans le cas d’espèce, c’est le tarif de 300 francs l’heure d’avocat et 165 francs l’heure de stagiaire, frais et TVA non compris, qui sera appliqué : la cause ne présentait aucune difficulté particulière et n’exigeait pas de compétences spécifiques, dans la mesure où elle portait sur un retard injustifié, notion qui devrait être bien connue de chaque avocat (même si les recours en la matière sont plutôt rares). Une procédure de ce genre ne nécessitait qu’une activité réduite de la part du mandataire, en ce sens qu’il lui suffisait d’exposer brièvement que le Ministère public devait prendre des décisions et qu’il ne les avait pas prises, malgré divers rappels et en particulier des invitations à statuer dans des délais déterminés. Cela ne peut pas justifier une activité de près de 10 heures (par exemple, une recherche sur les délais admis ou pas par la jurisprudence ne peut, expérience faite, guère prendre plus de 15 à 30 minutes et, dans le cas particulier, le retard à statuer était particulièrement évident). Dans une affaire récente, un mandataire a demandé et obtenu l’indemnisation d’une activité de 2h30 pour une procédure identique (ARMP.2024.80). On retiendra, en comptant large et en tenant compte du fait que le Ministère public a encore tardé à se déterminer sur le recours, puis a présenté des observations, ce qui a entraîné deux petites démarches supplémentaires de la part du défenseur, une activité nécessaire et justifiée de 3 heures pour l’avocat, à 300 francs l’heure (l’heure de stagiaire n’a pas à être indemnisée : la préparation d’un bordereau entre dans les tâches de secrétariat, déjà comprises dans le tarif horaire appliqué à l’activité de l’avocat, et une relecture d’un projet de recours par un stagiaire relève de la formation de ce dernier ; on relèvera au passage que, dans le mémoire d’honoraires déposé, l’activité du stagiaire était facturée à 330 francs l’heure, ce qui était tout à fait excessif). L’indemnité due ici se composera dès lors des honoraires pour 900 francs (3 x 300), de 26 francs pour les débours allégués et de 73 francs pour la TVA à 8,1 %. Le total s’élève à 999 francs, que l’on arrondira à 1'000 francs. L’indemnité sera allouée au mandataire personnellement (art. 429 al.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