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ARMP.2024.47 vom 12. Juli 2012</w:t>
      </w:r>
    </w:p>
    <w:p>
      <w:r>
        <w:t>NE Tribunal cantonal, 2012-07-12, FR</w:t>
      </w:r>
    </w:p>
    <w:p>
      <w:r>
        <w:rPr>
          <w:b/>
        </w:rPr>
        <w:t xml:space="preserve">Quelle: </w:t>
      </w:r>
      <w:r>
        <w:t>https://mcp.opencaselaw.ch/entscheid/ne_gerichte_ARMP.2024.47_d20120712</w:t>
      </w:r>
    </w:p>
    <w:p>
      <w:r>
        <w:t>FR: NE_GERICHTE ARMP.2024.47 du 12 juillet 2012</w:t>
      </w:r>
    </w:p>
    <w:p>
      <w:r>
        <w:t>IT: NE_GERICHTE ARMP.2024.47 del 12 luglio 2012</w:t>
      </w:r>
    </w:p>
    <w:p>
      <w:pPr>
        <w:pStyle w:val="Heading2"/>
      </w:pPr>
      <w:r>
        <w:t>Regeste</w:t>
      </w:r>
    </w:p>
    <w:p>
      <w:r>
        <w:t>Délai d’opposition à une ordonnance pénale. Présomption de notification. Restitution de délai.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amène les parties, par des questions appropriées, à compléter les allégations insuffisantes et à désigner les moyens de preuve.</w:t>
      </w:r>
    </w:p>
    <w:p>
      <w:r>
        <w:rPr>
          <w:b/>
        </w:rPr>
        <w:t>E. 2</w:t>
      </w:r>
    </w:p>
    <w:p>
      <w:r>
        <w:t>Le tribunal établit les faits d'office: a. dans les affaires visées à l'art. 243, al. 2; b. lorsque la valeur litigieuse ne dépasse pas 30 000 francs: 1. dans les autres litiges portant sur des baux à loyer et à ferme d'habitations et de locaux commerciaux et sur des baux à ferme agricoles, 2.dans les autres litiges portant sur un contrat de travail.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