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ARMP.2024.163 vom 20. November 2024</w:t>
      </w:r>
    </w:p>
    <w:p>
      <w:r>
        <w:t>NE Tribunal cantonal, 2024-11-20, FR</w:t>
      </w:r>
    </w:p>
    <w:p>
      <w:r>
        <w:rPr>
          <w:b/>
        </w:rPr>
        <w:t xml:space="preserve">Quelle: </w:t>
      </w:r>
      <w:r>
        <w:t>https://mcp.opencaselaw.ch/entscheid/ne_gerichte_ARMP.2024.163</w:t>
      </w:r>
    </w:p>
    <w:p>
      <w:r>
        <w:t>FR: NE_GERICHTE ARMP.2024.163 du 20 novembre 2024</w:t>
      </w:r>
    </w:p>
    <w:p>
      <w:r>
        <w:t>IT: NE_GERICHTE ARMP.2024.163 del 20 novembre 2024</w:t>
      </w:r>
    </w:p>
    <w:p>
      <w:pPr>
        <w:pStyle w:val="Heading2"/>
      </w:pPr>
      <w:r>
        <w:t>Erwägungen</w:t>
      </w:r>
    </w:p>
    <w:p>
      <w:r>
        <w:rPr>
          <w:b/>
        </w:rPr>
        <w:t>E. 14</w:t>
      </w:r>
    </w:p>
    <w:p>
      <w:r>
        <w:t>novembre 2024, A.________ a déposé des explications supplémentaires.</w:t>
      </w:r>
    </w:p>
    <w:p>
      <w:r>
        <w:t>C O N S I DÉ R A N T</w:t>
      </w:r>
    </w:p>
    <w:p>
      <w:r>
        <w:t>1.Une ordonnance de non-entrée en matière peut être attaquée au moyen dun recours écrit et motivé, qui doit être adressé à lautorité compétente dans les 10 jours suivant sa notification et par une personne ayant la qualité pour recourir (art. 382 al. 1 CPP ; art. 396 al. 1 CPP ; art 322 al. 2 CPP, applicable par renvoi de lart. 310 al. 2 CPP).</w:t>
      </w:r>
    </w:p>
    <w:p>
      <w:r>
        <w:t>1.1.Le dossier ne contient aucun élément (numéro de suivi, document «track &amp; trace impriméou accusé de réception) permettant de constater la date à laquelle la décision querellée a été notifiée àA.________, si bien que le recours doit être considéré comme formé en temps utile.</w:t>
      </w:r>
    </w:p>
    <w:p>
      <w:r>
        <w:t>1.2.La qualité pour recourir doit être reconnue à la recourante, en tant quelle se dit lésée par des infractions pénales quelle a dénoncées et que le Ministère public refuse de poursuivre. Étant précisé quon ne saurait, sous peine de formalisme excessif, se montrer trop exigeant envers les personnes non représentées quant à la motivation du recours et la formulation des conclusions, le recours est recevable. Il nen va pas de même de lécrit du 14 novembre 2024, qui constitue un complément tardif  et, partant, irrecevable (art. 396 al. 1 CPP)  du mémoire de recours. De même, la recourante nest pas légitimée à recourir en rapport avec une prétendue consommation de drogue par des tiers, en ce sens quelle nest pas personnellement et directement touchée par un tel comportement.</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3.Aux termes de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l'adagein dubio pro duriore(arrêt du TF du14.05.2018 [6B_1456/2017]cons. 4.1 et les réf. cit.). Celui-ci découle du principe de la légalité (art. 5 al. 1 Cst. féd. et 2 al. 1 CPP en relation avec les art. 309 al. 1, 319 al. 1 et 324 CPP ;ATF 138 IV 86cons. 4.2) et signifie qu'en principe, une non-entrée en matière ne peut être prononcée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241cons. 2.2.1 ;138 IV 86cons. 4.1.2 et les réf. cit.).</w:t>
      </w:r>
    </w:p>
    <w:p>
      <w:r>
        <w:t>4.En lespèce, la recouranteest incommodée par des bruits et des odeurs dans son immeuble et elle a le sentiment dêtre critiquée, moquée et surveillée par certains de ses voisins. Elle souhaite que cela change et, après sêtre adressée sans résultat à la gérance D.________ SA, elle sest tournée vers la police et le Ministère public pour obtenir de laide. Ce faisant, elle perd de vue que les autorités de poursuite pénale nont pas pour mission dassister les justiciables en proie à de telles difficultés, mais bien de poursuivre et juger les infractions pénales. Or il faut bien admettre que les faits dénoncés par A.________ ne justifient pas louverture dune instruction pénale.</w:t>
      </w:r>
    </w:p>
    <w:p>
      <w:r>
        <w:t>Dabord, une dénonciation ou une plainte pénale doit se rapporter à des faits précisément décrits et situés dans le temps et dans lespace. Tel nest pas le cas des comportements généraux queA.________ reproche à certains de ses voisins (chanter, claquer des portes, faire du bruit, la surveiller, la critiquer, etc.).Des faits relatés parA.________, on peut tout au plus retenir que lintéressée éprouve des sentiments et des impressions et quelle est incommodée par des bruits et des odeurs : ses écrits et déclarations font état dimpressions subjectives, et non de faits précisément décrits et dont le destinataire pourrait se faire une idée concrète.</w:t>
      </w:r>
    </w:p>
    <w:p>
      <w:r>
        <w:t>Ensuite, il est manifeste que la plupart des comportements que A.________ reproche à ses voisins ne constituent pas des infractions pénales (p. ex. tirer la chasse deau la nuit ; parler delle, notamment en disant quelle se lave trop ou possède trop de vêtements ; générer des odeurs, notamment de tabac). Concernant le bruit, sous le titre marginal «Scandale», larticle 35 du Code pénal neuchâtelois érige en contravention le fait de générer «du tapage de nature à troubler le repos nocturne, ou la tranquillité publique», mais les faits dénoncés par A.________ ne sont pas suffisamment précis et objectivés pour justifier une poursuite pénale. La recourante admet dailleurs elle-même souffrir dune hypersensibilité aux sons, que son immeuble est mal isolé et quelle nest pas en mesure de prouver les émissions sonores excessives dont elle se plaint, notamment par des enregistrements.</w:t>
      </w:r>
    </w:p>
    <w:p>
      <w:r>
        <w:t>Quant aux impressions subjectives de la recourante, elles ne reposent à lévidence pas toutes sur des réalités objectives. Les agents de police ayant procédé à laudition de la recourante ont ainsi précisé dans leur rapport que lintéressée «sembl[ait] visiblement souffrir dun sentiment de persécution permanent» et exprimait clairement quelle attendait «de toutes les personnes qui la côtoie[nt] de près ou de loin () une compréhension totale de sa fragilité psychologique». Dautres éléments du dossier vont dans le même sens, par exemple les nombreuses plaintes déposées sans fondement par A.________ contre ses voisins, les réclamations adressées par des habitants de son immeuble à la gérance D.________ SA en rapport avec son comportement à elle et le fait que la recourante ait admis quelle-même et B.________ sétaient adressé la parole «juste une fois», en 2023, et que ses relations avec C.________ et lamie de celui-ci sétaient limitées à se dire bonjour.</w:t>
      </w:r>
    </w:p>
    <w:p>
      <w:r>
        <w:t>Quant aux affirmations de la recourante selon lesquelles C.________ serait un «criminel» et détiendrait une arme chez lui, elles reposent sur un simple ouï-dire, dont rien ne permet de penser quil aurait la moindre substance.</w:t>
      </w:r>
    </w:p>
    <w:p>
      <w:r>
        <w:t>Dans ces conditions, cest avec raison que le Ministère public a renoncé à entrer en matière sur la plainte du 23 juillet 2024.</w:t>
      </w:r>
    </w:p>
    <w:p>
      <w:r>
        <w:t>5.Le recours doit être rejeté, aux frais de son auteure (art.428 al. 1 CPP), qui na dès lors droit à aucune indemnité. La recourante émargeant apparemment à laide sociale, les frais seront arrêtés au montant minimal de 200 francs (art. 42 de la loi du 6 novembre 2019 fixant le tarif des frais, des émoluments de chancellerie et des dépens en matière civile, pénale et administrative [LTFrais, RSN 164.1]).</w:t>
      </w:r>
    </w:p>
    <w:p>
      <w:r>
        <w:t>Par ces motifs,l'Autorité de recours en matière pénale</w:t>
      </w:r>
    </w:p>
    <w:p>
      <w:r>
        <w:t>1.Rejette le recours.</w:t>
      </w:r>
    </w:p>
    <w:p>
      <w:r>
        <w:t>2.Arrête les frais judiciaires de la procédure de recours à 200 francs et les met à la charge deA.________.</w:t>
      </w:r>
    </w:p>
    <w:p>
      <w:r>
        <w:t>3.Nalloue pas de dépens.</w:t>
      </w:r>
    </w:p>
    <w:p>
      <w:r>
        <w:t>4.Notifie le présent arrêt à A.________, à Z.________, et au Ministère   public, à La Chaux-de-Fonds (MP.2024.4273).</w:t>
      </w:r>
    </w:p>
    <w:p>
      <w:r>
        <w:t>Neuchâtel, le 20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